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1"/>
        <w:ind w:firstLine="0"/>
        <w:jc w:val="center"/>
      </w:pPr>
      <w:r>
        <w:t>区域政策支持强度与低空经济产出（课程二全链沙箱演示）</w:t>
      </w:r>
    </w:p>
    <w:p>
      <w:pPr>
        <w:pStyle w:val="2"/>
      </w:pPr>
      <w:r>
        <w:t>模型设定</w:t>
      </w:r>
    </w:p>
    <w:p>
      <w:pPr>
        <w:pStyle w:val="a0"/>
      </w:pPr>
      <w:r>
        <w:t>基准检验采用双向固定效应面板模型，</w:t>
      </w:r>
      <m:oMath>
        <m:sSub>
          <m:e>
            <m:r>
              <m:t>μ</m:t>
            </m:r>
          </m:e>
          <m:sub>
            <m:r>
              <m:t>i</m:t>
            </m:r>
          </m:sub>
        </m:sSub>
      </m:oMath>
      <w:r>
        <w:t xml:space="preserve"> 与 </w:t>
      </w:r>
      <m:oMath>
        <m:sSub>
          <m:e>
            <m:r>
              <m:t>λ</m:t>
            </m:r>
          </m:e>
          <m:sub>
            <m:r>
              <m:t>t</m:t>
            </m:r>
          </m:sub>
        </m:sSub>
      </m:oMath>
      <w:r>
        <w:t xml:space="preserve"> 分别吸收省份和年份固定效应，标准误在省份层面聚类。其中 </w:t>
      </w:r>
      <m:oMath>
        <m:r>
          <m:t>Y</m:t>
        </m:r>
      </m:oMath>
      <w:r>
        <w:t xml:space="preserve"> 为低空经济产出（lowalt_output），</w:t>
      </w:r>
      <m:oMath>
        <m:r>
          <m:t>P</m:t>
        </m:r>
        <m:r>
          <m:t>o</m:t>
        </m:r>
        <m:r>
          <m:t>l</m:t>
        </m:r>
        <m:r>
          <m:t>i</m:t>
        </m:r>
        <m:r>
          <m:t>c</m:t>
        </m:r>
        <m:r>
          <m:t>y</m:t>
        </m:r>
      </m:oMath>
      <w:r>
        <w:t xml:space="preserve"> 为政策支持强度（policy_intensity），</w:t>
      </w:r>
      <m:oMath>
        <m:r>
          <m:t>I</m:t>
        </m:r>
        <m:r>
          <m:t>n</m:t>
        </m:r>
        <m:r>
          <m:t>f</m:t>
        </m:r>
        <m:r>
          <m:t>r</m:t>
        </m:r>
        <m:r>
          <m:t>a</m:t>
        </m:r>
      </m:oMath>
      <w:r>
        <w:t xml:space="preserve"> 为基础设施密度（infra_density），</w:t>
      </w:r>
      <m:oMath>
        <m:r>
          <m:t>X</m:t>
        </m:r>
      </m:oMath>
      <w:r>
        <w:t xml:space="preserve"> 为控制变量集合（gdp_ln、urban_rate）。</w:t>
      </w:r>
    </w:p>
    <w:p>
      <w:pPr>
        <w:jc w:val="center"/>
      </w:pPr>
      <m:oMathPara>
        <m:oMath>
          <m:sSub>
            <m:e>
              <m:r>
                <m:t>Y</m:t>
              </m:r>
            </m:e>
            <m:sub>
              <m:r>
                <m:t>i</m:t>
              </m:r>
              <m:r>
                <m:t>t</m:t>
              </m:r>
            </m:sub>
          </m:sSub>
          <m:r>
            <m:t>=</m:t>
          </m:r>
          <m:r>
            <m:t>β</m:t>
          </m:r>
          <m:r>
            <m:t>P</m:t>
          </m:r>
          <m:r>
            <m:t>o</m:t>
          </m:r>
          <m:r>
            <m:t>l</m:t>
          </m:r>
          <m:r>
            <m:t>i</m:t>
          </m:r>
          <m:r>
            <m:t>c</m:t>
          </m:r>
          <m:sSub>
            <m:e>
              <m:r>
                <m:t>y</m:t>
              </m:r>
            </m:e>
            <m:sub>
              <m:r>
                <m:t>i</m:t>
              </m:r>
              <m:r>
                <m:t>t</m:t>
              </m:r>
            </m:sub>
          </m:sSub>
          <m:r>
            <m:t>+</m:t>
          </m:r>
          <m:sSub>
            <m:e>
              <m:r>
                <m:t>γ</m:t>
              </m:r>
            </m:e>
            <m:sub>
              <m:r>
                <m:t>1</m:t>
              </m:r>
            </m:sub>
          </m:sSub>
          <m:r>
            <m:t>G</m:t>
          </m:r>
          <m:r>
            <m:t>D</m:t>
          </m:r>
          <m:sSub>
            <m:e>
              <m:r>
                <m:t>P</m:t>
              </m:r>
            </m:e>
            <m:sub>
              <m:r>
                <m:t>i</m:t>
              </m:r>
              <m:r>
                <m:t>t</m:t>
              </m:r>
            </m:sub>
          </m:sSub>
          <m:r>
            <m:t>+</m:t>
          </m:r>
          <m:sSub>
            <m:e>
              <m:r>
                <m:t>γ</m:t>
              </m:r>
            </m:e>
            <m:sub>
              <m:r>
                <m:t>2</m:t>
              </m:r>
            </m:sub>
          </m:sSub>
          <m:r>
            <m:t>U</m:t>
          </m:r>
          <m:r>
            <m:t>r</m:t>
          </m:r>
          <m:r>
            <m:t>b</m:t>
          </m:r>
          <m:r>
            <m:t>a</m:t>
          </m:r>
          <m:sSub>
            <m:e>
              <m:r>
                <m:t>n</m:t>
              </m:r>
            </m:e>
            <m:sub>
              <m:r>
                <m:t>i</m:t>
              </m:r>
              <m:r>
                <m:t>t</m:t>
              </m:r>
            </m:sub>
          </m:sSub>
          <m:r>
            <m:t>+</m:t>
          </m:r>
          <m:sSub>
            <m:e>
              <m:r>
                <m:t>μ</m:t>
              </m:r>
            </m:e>
            <m:sub>
              <m:r>
                <m:t>i</m:t>
              </m:r>
            </m:sub>
          </m:sSub>
          <m:r>
            <m:t>+</m:t>
          </m:r>
          <m:sSub>
            <m:e>
              <m:r>
                <m:t>λ</m:t>
              </m:r>
            </m:e>
            <m:sub>
              <m:r>
                <m:t>t</m:t>
              </m:r>
            </m:sub>
          </m:sSub>
          <m:r>
            <m:t>+</m:t>
          </m:r>
          <m:sSub>
            <m:e>
              <m:r>
                <m:t>ε</m:t>
              </m:r>
            </m:e>
            <m:sub>
              <m:r>
                <m:t>i</m:t>
              </m:r>
              <m:r>
                <m:t>t</m:t>
              </m:r>
            </m:sub>
          </m:sSub>
        </m:oMath>
      </m:oMathPara>
    </w:p>
    <w:p>
      <w:pPr>
        <w:pStyle w:val="a0"/>
      </w:pPr>
      <w:r>
        <w:t xml:space="preserve">机制检验采用中介两步法：第一步估计政策强度对基础设施密度的影响，第二步在产出方程中同时纳入政策强度与基础设施密度，若 </w:t>
      </w:r>
      <m:oMath>
        <m:r>
          <m:t>a</m:t>
        </m:r>
      </m:oMath>
      <w:r>
        <w:t xml:space="preserve"> 显著、</w:t>
      </w:r>
      <m:oMath>
        <m:r>
          <m:t>δ</m:t>
        </m:r>
      </m:oMath>
      <w:r>
        <w:t xml:space="preserve"> 显著且 </w:t>
      </w:r>
      <m:oMath>
        <m:r>
          <m:t>|</m:t>
        </m:r>
        <m:sSup>
          <m:e>
            <m:r>
              <m:t>β</m:t>
            </m:r>
          </m:e>
          <m:sup>
            <m:r>
              <m:t>′</m:t>
            </m:r>
          </m:sup>
        </m:sSup>
        <m:r>
          <m:t>|</m:t>
        </m:r>
        <m:r>
          <m:t>&lt;</m:t>
        </m:r>
        <m:r>
          <m:t>|</m:t>
        </m:r>
        <m:r>
          <m:t>β</m:t>
        </m:r>
        <m:r>
          <m:t>|</m:t>
        </m:r>
      </m:oMath>
      <w:r>
        <w:t>，则与部分中介模式一致。</w:t>
      </w:r>
    </w:p>
    <w:p>
      <w:pPr>
        <w:jc w:val="center"/>
      </w:pPr>
      <m:oMathPara>
        <m:oMath>
          <m:r>
            <m:t>I</m:t>
          </m:r>
          <m:r>
            <m:t>n</m:t>
          </m:r>
          <m:r>
            <m:t>f</m:t>
          </m:r>
          <m:r>
            <m:t>r</m:t>
          </m:r>
          <m:sSub>
            <m:e>
              <m:r>
                <m:t>a</m:t>
              </m:r>
            </m:e>
            <m:sub>
              <m:r>
                <m:t>i</m:t>
              </m:r>
              <m:r>
                <m:t>t</m:t>
              </m:r>
            </m:sub>
          </m:sSub>
          <m:r>
            <m:t>=</m:t>
          </m:r>
          <m:r>
            <m:t>a</m:t>
          </m:r>
          <m:r>
            <m:t>P</m:t>
          </m:r>
          <m:r>
            <m:t>o</m:t>
          </m:r>
          <m:r>
            <m:t>l</m:t>
          </m:r>
          <m:r>
            <m:t>i</m:t>
          </m:r>
          <m:r>
            <m:t>c</m:t>
          </m:r>
          <m:sSub>
            <m:e>
              <m:r>
                <m:t>y</m:t>
              </m:r>
            </m:e>
            <m:sub>
              <m:r>
                <m:t>i</m:t>
              </m:r>
              <m:r>
                <m:t>t</m:t>
              </m:r>
            </m:sub>
          </m:sSub>
          <m:r>
            <m:t>+</m:t>
          </m:r>
          <m:sSup>
            <m:e>
              <m:r>
                <m:t>𝐛</m:t>
              </m:r>
            </m:e>
            <m:sup>
              <m:r>
                <m:t>′</m:t>
              </m:r>
            </m:sup>
          </m:sSup>
          <m:sSub>
            <m:e>
              <m:r>
                <m:t>X</m:t>
              </m:r>
            </m:e>
            <m:sub>
              <m:r>
                <m:t>i</m:t>
              </m:r>
              <m:r>
                <m:t>t</m:t>
              </m:r>
            </m:sub>
          </m:sSub>
          <m:r>
            <m:t>+</m:t>
          </m:r>
          <m:sSub>
            <m:e>
              <m:r>
                <m:t>μ</m:t>
              </m:r>
            </m:e>
            <m:sub>
              <m:r>
                <m:t>i</m:t>
              </m:r>
            </m:sub>
          </m:sSub>
          <m:r>
            <m:t>+</m:t>
          </m:r>
          <m:sSub>
            <m:e>
              <m:r>
                <m:t>λ</m:t>
              </m:r>
            </m:e>
            <m:sub>
              <m:r>
                <m:t>t</m:t>
              </m:r>
            </m:sub>
          </m:sSub>
          <m:r>
            <m:t>+</m:t>
          </m:r>
          <m:sSub>
            <m:e>
              <m:r>
                <m:t>e</m:t>
              </m:r>
            </m:e>
            <m:sub>
              <m:r>
                <m:t>i</m:t>
              </m:r>
              <m:r>
                <m:t>t</m:t>
              </m:r>
            </m:sub>
          </m:sSub>
        </m:oMath>
      </m:oMathPara>
    </w:p>
    <w:p>
      <w:pPr>
        <w:jc w:val="center"/>
      </w:pPr>
      <m:oMathPara>
        <m:oMath>
          <m:sSub>
            <m:e>
              <m:r>
                <m:t>Y</m:t>
              </m:r>
            </m:e>
            <m:sub>
              <m:r>
                <m:t>i</m:t>
              </m:r>
              <m:r>
                <m:t>t</m:t>
              </m:r>
            </m:sub>
          </m:sSub>
          <m:r>
            <m:t>=</m:t>
          </m:r>
          <m:sSup>
            <m:e>
              <m:r>
                <m:t>β</m:t>
              </m:r>
            </m:e>
            <m:sup>
              <m:r>
                <m:t>′</m:t>
              </m:r>
            </m:sup>
          </m:sSup>
          <m:r>
            <m:t>P</m:t>
          </m:r>
          <m:r>
            <m:t>o</m:t>
          </m:r>
          <m:r>
            <m:t>l</m:t>
          </m:r>
          <m:r>
            <m:t>i</m:t>
          </m:r>
          <m:r>
            <m:t>c</m:t>
          </m:r>
          <m:sSub>
            <m:e>
              <m:r>
                <m:t>y</m:t>
              </m:r>
            </m:e>
            <m:sub>
              <m:r>
                <m:t>i</m:t>
              </m:r>
              <m:r>
                <m:t>t</m:t>
              </m:r>
            </m:sub>
          </m:sSub>
          <m:r>
            <m:t>+</m:t>
          </m:r>
          <m:r>
            <m:t>δ</m:t>
          </m:r>
          <m:r>
            <m:t>I</m:t>
          </m:r>
          <m:r>
            <m:t>n</m:t>
          </m:r>
          <m:r>
            <m:t>f</m:t>
          </m:r>
          <m:r>
            <m:t>r</m:t>
          </m:r>
          <m:sSub>
            <m:e>
              <m:r>
                <m:t>a</m:t>
              </m:r>
            </m:e>
            <m:sub>
              <m:r>
                <m:t>i</m:t>
              </m:r>
              <m:r>
                <m:t>t</m:t>
              </m:r>
            </m:sub>
          </m:sSub>
          <m:r>
            <m:t>+</m:t>
          </m:r>
          <m:sSup>
            <m:e>
              <m:r>
                <m:t>𝐜</m:t>
              </m:r>
            </m:e>
            <m:sup>
              <m:r>
                <m:t>′</m:t>
              </m:r>
            </m:sup>
          </m:sSup>
          <m:sSub>
            <m:e>
              <m:r>
                <m:t>X</m:t>
              </m:r>
            </m:e>
            <m:sub>
              <m:r>
                <m:t>i</m:t>
              </m:r>
              <m:r>
                <m:t>t</m:t>
              </m:r>
            </m:sub>
          </m:sSub>
          <m:r>
            <m:t>+</m:t>
          </m:r>
          <m:sSub>
            <m:e>
              <m:r>
                <m:t>μ</m:t>
              </m:r>
            </m:e>
            <m:sub>
              <m:r>
                <m:t>i</m:t>
              </m:r>
            </m:sub>
          </m:sSub>
          <m:r>
            <m:t>+</m:t>
          </m:r>
          <m:sSub>
            <m:e>
              <m:r>
                <m:t>λ</m:t>
              </m:r>
            </m:e>
            <m:sub>
              <m:r>
                <m:t>t</m:t>
              </m:r>
            </m:sub>
          </m:sSub>
          <m:r>
            <m:t>+</m:t>
          </m:r>
          <m:sSub>
            <m:e>
              <m:r>
                <m:t>ε</m:t>
              </m:r>
            </m:e>
            <m:sub>
              <m:r>
                <m:t>i</m:t>
              </m:r>
              <m:r>
                <m:t>t</m:t>
              </m:r>
            </m:sub>
          </m:sSub>
        </m:oMath>
      </m:oMathPara>
    </w:p>
    <w:p>
      <w:pPr>
        <w:pStyle w:val="a0"/>
      </w:pPr>
      <w:r>
        <w:t>本批冻结执行的规格构成如下。基准规格（main-1）以 lowalt_output 为因变量、纳入 policy_intensity 与 gdp_ln、urban_rate；稳健性规格（robustness-drop-1）在基准基础上调整控制变量集合后重估；异质性规格（heterogeneity-1-median-high）按 market_openness 的中位数（阈值 0.5032）取 high 组（n=140）单独估计；异质性规格（heterogeneity-1-median-low）按 market_openness 的中位数（阈值 0.5032）取 low 组（n=139）单独估计；机制规格（mechanism-1-mediator）以 infra_density 为因变量、纳入 policy_intensity 与 gdp_ln、urban_rate，并同时纳入基础设施密度；机制规格（mechanism-1-outcome）以 lowalt_output 为因变量、纳入 policy_intensity 与 gdp_ln、urban_rate、infra_density，并同时纳入基础设施密度。全部规格共享同一冻结数据与模型版本。</w:t>
      </w:r>
    </w:p>
    <w:p>
      <w:pPr>
        <w:pStyle w:val="2"/>
      </w:pPr>
      <w:r>
        <w:t>样本与数据</w:t>
      </w:r>
    </w:p>
    <w:p>
      <w:pPr>
        <w:pStyle w:val="a0"/>
      </w:pPr>
      <w:r>
        <w:t>本文使用 31 个省份 2016—2024 年的省年度面板，共 279 个观测（数据版本 sandbox-panel-20260830，SHA256 前 12 位 289b97d346a5）。全部规格基于同一冻结执行（locked），处理变量、控制变量与中介变量的构造口径见表1。需要说明的是，本报告数值来自课程二沙箱合成面板（教学演示用，NON-PRODUCTION），不代表真实区域或可发表结论；执行链与出口格式的有效性以本演示为准。</w:t>
      </w:r>
    </w:p>
    <w:p>
      <w:pPr>
        <w:pStyle w:val="2"/>
      </w:pPr>
      <w:r>
        <w:t>变量定义</w:t>
      </w:r>
    </w:p>
    <w:p>
      <w:pPr>
        <w:pStyle w:val="a0"/>
      </w:pPr>
      <w:r>
        <w:t>变量角色与构造口径如下表所示；中介变量 infra_density 与分组变量 market_openness 为面板原生列，由验证空间规格声明使用。</w:t>
      </w:r>
    </w:p>
    <w:p>
      <w:pPr>
        <w:pStyle w:val="a0"/>
      </w:pPr>
      <w:r>
        <w:t>表1　变量定义与度量</w:t>
      </w:r>
    </w:p>
    <w:tbl>
      <w:tblPr>
        <w:tblStyle w:val="af4"/>
        <w:tblW w:type="pct" w:w="5000"/>
        <w:tblLayout w:type="autofit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pPr>
              <w:pStyle w:val="Compact"/>
              <w:ind w:firstLine="0" w:firstLineChars="0"/>
            </w:pPr>
            <w:r>
              <w:rPr>
                <w:b/>
              </w:rPr>
              <w:t>变量角色</w:t>
            </w:r>
          </w:p>
        </w:tc>
        <w:tc>
          <w:tcPr>
            <w:tcW w:type="dxa" w:w="2160"/>
          </w:tcPr>
          <w:p>
            <w:pPr>
              <w:pStyle w:val="Compact"/>
              <w:ind w:firstLine="0" w:firstLineChars="0"/>
            </w:pPr>
            <w:r>
              <w:rPr>
                <w:b/>
              </w:rPr>
              <w:t>列名</w:t>
            </w:r>
          </w:p>
        </w:tc>
        <w:tc>
          <w:tcPr>
            <w:tcW w:type="dxa" w:w="2160"/>
          </w:tcPr>
          <w:p>
            <w:pPr>
              <w:pStyle w:val="Compact"/>
              <w:ind w:firstLine="0" w:firstLineChars="0"/>
            </w:pPr>
            <w:r>
              <w:rPr>
                <w:b/>
              </w:rPr>
              <w:t>构造说明</w:t>
            </w:r>
          </w:p>
        </w:tc>
        <w:tc>
          <w:tcPr>
            <w:tcW w:type="dxa" w:w="2160"/>
          </w:tcPr>
          <w:p>
            <w:pPr>
              <w:pStyle w:val="Compact"/>
              <w:ind w:firstLine="0" w:firstLineChars="0"/>
            </w:pPr>
            <w:r>
              <w:rPr>
                <w:b/>
              </w:rPr>
              <w:t>来源</w:t>
            </w:r>
          </w:p>
        </w:tc>
      </w:tr>
      <w:tr>
        <w:tc>
          <w:tcPr>
            <w:tcW w:type="dxa" w:w="2160"/>
          </w:tcPr>
          <w:p>
            <w:pPr>
              <w:pStyle w:val="Compact"/>
              <w:ind w:firstLine="0" w:firstLineChars="0"/>
            </w:pPr>
            <w:r>
              <w:t>被解释变量</w:t>
            </w:r>
          </w:p>
        </w:tc>
        <w:tc>
          <w:tcPr>
            <w:tcW w:type="dxa" w:w="2160"/>
          </w:tcPr>
          <w:p>
            <w:pPr>
              <w:pStyle w:val="Compact"/>
              <w:ind w:firstLine="0" w:firstLineChars="0"/>
            </w:pPr>
            <w:r>
              <w:t>lowalt_output</w:t>
            </w:r>
          </w:p>
        </w:tc>
        <w:tc>
          <w:tcPr>
            <w:tcW w:type="dxa" w:w="2160"/>
          </w:tcPr>
          <w:p>
            <w:pPr>
              <w:pStyle w:val="Compact"/>
              <w:ind w:firstLine="0" w:firstLineChars="0"/>
            </w:pPr>
            <w:r>
              <w:t>合成产出指数</w:t>
            </w:r>
          </w:p>
        </w:tc>
        <w:tc>
          <w:tcPr>
            <w:tcW w:type="dxa" w:w="2160"/>
          </w:tcPr>
          <w:p>
            <w:pPr>
              <w:pStyle w:val="Compact"/>
              <w:ind w:firstLine="0" w:firstLineChars="0"/>
            </w:pPr>
            <w:r>
              <w:t>synthetic-sandbox</w:t>
            </w:r>
          </w:p>
        </w:tc>
      </w:tr>
      <w:tr>
        <w:tc>
          <w:tcPr>
            <w:tcW w:type="dxa" w:w="2160"/>
          </w:tcPr>
          <w:p>
            <w:pPr>
              <w:pStyle w:val="Compact"/>
              <w:ind w:firstLine="0" w:firstLineChars="0"/>
            </w:pPr>
            <w:r>
              <w:t>核心解释变量</w:t>
            </w:r>
          </w:p>
        </w:tc>
        <w:tc>
          <w:tcPr>
            <w:tcW w:type="dxa" w:w="2160"/>
          </w:tcPr>
          <w:p>
            <w:pPr>
              <w:pStyle w:val="Compact"/>
              <w:ind w:firstLine="0" w:firstLineChars="0"/>
            </w:pPr>
            <w:r>
              <w:t>policy_intensity</w:t>
            </w:r>
          </w:p>
        </w:tc>
        <w:tc>
          <w:tcPr>
            <w:tcW w:type="dxa" w:w="2160"/>
          </w:tcPr>
          <w:p>
            <w:pPr>
              <w:pStyle w:val="Compact"/>
              <w:ind w:firstLine="0" w:firstLineChars="0"/>
            </w:pPr>
            <w:r>
              <w:t>合成政策强度指数</w:t>
            </w:r>
          </w:p>
        </w:tc>
        <w:tc>
          <w:tcPr>
            <w:tcW w:type="dxa" w:w="2160"/>
          </w:tcPr>
          <w:p>
            <w:pPr>
              <w:pStyle w:val="Compact"/>
              <w:ind w:firstLine="0" w:firstLineChars="0"/>
            </w:pPr>
            <w:r>
              <w:t>synthetic-sandbox</w:t>
            </w:r>
          </w:p>
        </w:tc>
      </w:tr>
      <w:tr>
        <w:tc>
          <w:tcPr>
            <w:tcW w:type="dxa" w:w="2160"/>
          </w:tcPr>
          <w:p>
            <w:pPr>
              <w:pStyle w:val="Compact"/>
              <w:ind w:firstLine="0" w:firstLineChars="0"/>
            </w:pPr>
            <w:r>
              <w:t>控制变量</w:t>
            </w:r>
          </w:p>
        </w:tc>
        <w:tc>
          <w:tcPr>
            <w:tcW w:type="dxa" w:w="2160"/>
          </w:tcPr>
          <w:p>
            <w:pPr>
              <w:pStyle w:val="Compact"/>
              <w:ind w:firstLine="0" w:firstLineChars="0"/>
            </w:pPr>
            <w:r>
              <w:t>gdp_ln</w:t>
            </w:r>
          </w:p>
        </w:tc>
        <w:tc>
          <w:tcPr>
            <w:tcW w:type="dxa" w:w="2160"/>
          </w:tcPr>
          <w:p>
            <w:pPr>
              <w:pStyle w:val="Compact"/>
              <w:ind w:firstLine="0" w:firstLineChars="0"/>
            </w:pPr>
            <w:r>
              <w:t>合成经济规模</w:t>
            </w:r>
          </w:p>
        </w:tc>
        <w:tc>
          <w:tcPr>
            <w:tcW w:type="dxa" w:w="2160"/>
          </w:tcPr>
          <w:p>
            <w:pPr>
              <w:pStyle w:val="Compact"/>
              <w:ind w:firstLine="0" w:firstLineChars="0"/>
            </w:pPr>
            <w:r>
              <w:t>synthetic-sandbox</w:t>
            </w:r>
          </w:p>
        </w:tc>
      </w:tr>
      <w:tr>
        <w:tc>
          <w:tcPr>
            <w:tcW w:type="dxa" w:w="2160"/>
          </w:tcPr>
          <w:p>
            <w:pPr>
              <w:pStyle w:val="Compact"/>
              <w:ind w:firstLine="0" w:firstLineChars="0"/>
            </w:pPr>
            <w:r>
              <w:t>控制变量</w:t>
            </w:r>
          </w:p>
        </w:tc>
        <w:tc>
          <w:tcPr>
            <w:tcW w:type="dxa" w:w="2160"/>
          </w:tcPr>
          <w:p>
            <w:pPr>
              <w:pStyle w:val="Compact"/>
              <w:ind w:firstLine="0" w:firstLineChars="0"/>
            </w:pPr>
            <w:r>
              <w:t>urban_rate</w:t>
            </w:r>
          </w:p>
        </w:tc>
        <w:tc>
          <w:tcPr>
            <w:tcW w:type="dxa" w:w="2160"/>
          </w:tcPr>
          <w:p>
            <w:pPr>
              <w:pStyle w:val="Compact"/>
              <w:ind w:firstLine="0" w:firstLineChars="0"/>
            </w:pPr>
            <w:r>
              <w:t>合成城镇化率</w:t>
            </w:r>
          </w:p>
        </w:tc>
        <w:tc>
          <w:tcPr>
            <w:tcW w:type="dxa" w:w="2160"/>
          </w:tcPr>
          <w:p>
            <w:pPr>
              <w:pStyle w:val="Compact"/>
              <w:ind w:firstLine="0" w:firstLineChars="0"/>
            </w:pPr>
            <w:r>
              <w:t>synthetic-sandbox</w:t>
            </w:r>
          </w:p>
        </w:tc>
      </w:tr>
    </w:tbl>
    <w:p>
      <w:pPr>
        <w:pStyle w:val="a0"/>
      </w:pPr>
      <w:r>
        <w:t>注：全部变量来自合成面板（synthetic-sandbox），构造说明转录自变量映射声明。</w:t>
      </w:r>
    </w:p>
    <w:p>
      <w:pPr>
        <w:pStyle w:val="2"/>
      </w:pPr>
      <w:r>
        <w:t>描述性统计</w:t>
      </w:r>
    </w:p>
    <w:p>
      <w:pPr>
        <w:pStyle w:val="a0"/>
      </w:pPr>
      <w:r>
        <w:t>表2 报告主要变量的描述性统计。</w:t>
      </w:r>
    </w:p>
    <w:p>
      <w:pPr>
        <w:pStyle w:val="a0"/>
      </w:pPr>
      <w:r>
        <w:t>表2　主要变量描述性统计</w:t>
      </w:r>
    </w:p>
    <w:tbl>
      <w:tblPr>
        <w:tblStyle w:val="af4"/>
        <w:tblW w:type="pct" w:w="5000"/>
        <w:tblLayout w:type="autofit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</w:tcPr>
          <w:p>
            <w:pPr>
              <w:pStyle w:val="Compact"/>
              <w:ind w:firstLine="0" w:firstLineChars="0"/>
            </w:pPr>
            <w:r>
              <w:rPr>
                <w:b/>
              </w:rPr>
              <w:t>变量</w:t>
            </w:r>
          </w:p>
        </w:tc>
        <w:tc>
          <w:tcPr>
            <w:tcW w:type="dxa" w:w="1234"/>
          </w:tcPr>
          <w:p>
            <w:pPr>
              <w:pStyle w:val="Compact"/>
              <w:ind w:firstLine="0" w:firstLineChars="0"/>
            </w:pPr>
            <w:r>
              <w:rPr>
                <w:b/>
              </w:rPr>
              <w:t>N</w:t>
            </w:r>
          </w:p>
        </w:tc>
        <w:tc>
          <w:tcPr>
            <w:tcW w:type="dxa" w:w="1234"/>
          </w:tcPr>
          <w:p>
            <w:pPr>
              <w:pStyle w:val="Compact"/>
              <w:ind w:firstLine="0" w:firstLineChars="0"/>
            </w:pPr>
            <w:r>
              <w:rPr>
                <w:b/>
              </w:rPr>
              <w:t>均值</w:t>
            </w:r>
          </w:p>
        </w:tc>
        <w:tc>
          <w:tcPr>
            <w:tcW w:type="dxa" w:w="1234"/>
          </w:tcPr>
          <w:p>
            <w:pPr>
              <w:pStyle w:val="Compact"/>
              <w:ind w:firstLine="0" w:firstLineChars="0"/>
            </w:pPr>
            <w:r>
              <w:rPr>
                <w:b/>
              </w:rPr>
              <w:t>标准差</w:t>
            </w:r>
          </w:p>
        </w:tc>
        <w:tc>
          <w:tcPr>
            <w:tcW w:type="dxa" w:w="1234"/>
          </w:tcPr>
          <w:p>
            <w:pPr>
              <w:pStyle w:val="Compact"/>
              <w:ind w:firstLine="0" w:firstLineChars="0"/>
            </w:pPr>
            <w:r>
              <w:rPr>
                <w:b/>
              </w:rPr>
              <w:t>最小值</w:t>
            </w:r>
          </w:p>
        </w:tc>
        <w:tc>
          <w:tcPr>
            <w:tcW w:type="dxa" w:w="1234"/>
          </w:tcPr>
          <w:p>
            <w:pPr>
              <w:pStyle w:val="Compact"/>
              <w:ind w:firstLine="0" w:firstLineChars="0"/>
            </w:pPr>
            <w:r>
              <w:rPr>
                <w:b/>
              </w:rPr>
              <w:t>中位数</w:t>
            </w:r>
          </w:p>
        </w:tc>
        <w:tc>
          <w:tcPr>
            <w:tcW w:type="dxa" w:w="1234"/>
          </w:tcPr>
          <w:p>
            <w:pPr>
              <w:pStyle w:val="Compact"/>
              <w:ind w:firstLine="0" w:firstLineChars="0"/>
            </w:pPr>
            <w:r>
              <w:rPr>
                <w:b/>
              </w:rPr>
              <w:t>最大值</w:t>
            </w:r>
          </w:p>
        </w:tc>
      </w:tr>
      <w:tr>
        <w:tc>
          <w:tcPr>
            <w:tcW w:type="dxa" w:w="1234"/>
          </w:tcPr>
          <w:p>
            <w:pPr>
              <w:pStyle w:val="Compact"/>
              <w:ind w:firstLine="0" w:firstLineChars="0"/>
            </w:pPr>
            <w:r>
              <w:t>year</w:t>
            </w:r>
          </w:p>
        </w:tc>
        <w:tc>
          <w:tcPr>
            <w:tcW w:type="dxa" w:w="1234"/>
          </w:tcPr>
          <w:p>
            <w:pPr>
              <w:pStyle w:val="Compact"/>
              <w:ind w:firstLine="0" w:firstLineChars="0"/>
            </w:pPr>
            <w:r>
              <w:t>279</w:t>
            </w:r>
          </w:p>
        </w:tc>
        <w:tc>
          <w:tcPr>
            <w:tcW w:type="dxa" w:w="1234"/>
          </w:tcPr>
          <w:p>
            <w:pPr>
              <w:pStyle w:val="Compact"/>
              <w:ind w:firstLine="0" w:firstLineChars="0"/>
            </w:pPr>
            <w:r>
              <w:t>2020.0000</w:t>
            </w:r>
          </w:p>
        </w:tc>
        <w:tc>
          <w:tcPr>
            <w:tcW w:type="dxa" w:w="1234"/>
          </w:tcPr>
          <w:p>
            <w:pPr>
              <w:pStyle w:val="Compact"/>
              <w:ind w:firstLine="0" w:firstLineChars="0"/>
            </w:pPr>
            <w:r>
              <w:t>2.5866</w:t>
            </w:r>
          </w:p>
        </w:tc>
        <w:tc>
          <w:tcPr>
            <w:tcW w:type="dxa" w:w="1234"/>
          </w:tcPr>
          <w:p>
            <w:pPr>
              <w:pStyle w:val="Compact"/>
              <w:ind w:firstLine="0" w:firstLineChars="0"/>
            </w:pPr>
            <w:r>
              <w:t>2016.0000</w:t>
            </w:r>
          </w:p>
        </w:tc>
        <w:tc>
          <w:tcPr>
            <w:tcW w:type="dxa" w:w="1234"/>
          </w:tcPr>
          <w:p>
            <w:pPr>
              <w:pStyle w:val="Compact"/>
              <w:ind w:firstLine="0" w:firstLineChars="0"/>
            </w:pPr>
            <w:r>
              <w:t>2020.0000</w:t>
            </w:r>
          </w:p>
        </w:tc>
        <w:tc>
          <w:tcPr>
            <w:tcW w:type="dxa" w:w="1234"/>
          </w:tcPr>
          <w:p>
            <w:pPr>
              <w:pStyle w:val="Compact"/>
              <w:ind w:firstLine="0" w:firstLineChars="0"/>
            </w:pPr>
            <w:r>
              <w:t>2024.0000</w:t>
            </w:r>
          </w:p>
        </w:tc>
      </w:tr>
      <w:tr>
        <w:tc>
          <w:tcPr>
            <w:tcW w:type="dxa" w:w="1234"/>
          </w:tcPr>
          <w:p>
            <w:pPr>
              <w:pStyle w:val="Compact"/>
              <w:ind w:firstLine="0" w:firstLineChars="0"/>
            </w:pPr>
            <w:r>
              <w:t>lowalt_output</w:t>
            </w:r>
          </w:p>
        </w:tc>
        <w:tc>
          <w:tcPr>
            <w:tcW w:type="dxa" w:w="1234"/>
          </w:tcPr>
          <w:p>
            <w:pPr>
              <w:pStyle w:val="Compact"/>
              <w:ind w:firstLine="0" w:firstLineChars="0"/>
            </w:pPr>
            <w:r>
              <w:t>279</w:t>
            </w:r>
          </w:p>
        </w:tc>
        <w:tc>
          <w:tcPr>
            <w:tcW w:type="dxa" w:w="1234"/>
          </w:tcPr>
          <w:p>
            <w:pPr>
              <w:pStyle w:val="Compact"/>
              <w:ind w:firstLine="0" w:firstLineChars="0"/>
            </w:pPr>
            <w:r>
              <w:t>0.7809</w:t>
            </w:r>
          </w:p>
        </w:tc>
        <w:tc>
          <w:tcPr>
            <w:tcW w:type="dxa" w:w="1234"/>
          </w:tcPr>
          <w:p>
            <w:pPr>
              <w:pStyle w:val="Compact"/>
              <w:ind w:firstLine="0" w:firstLineChars="0"/>
            </w:pPr>
            <w:r>
              <w:t>0.8956</w:t>
            </w:r>
          </w:p>
        </w:tc>
        <w:tc>
          <w:tcPr>
            <w:tcW w:type="dxa" w:w="1234"/>
          </w:tcPr>
          <w:p>
            <w:pPr>
              <w:pStyle w:val="Compact"/>
              <w:ind w:firstLine="0" w:firstLineChars="0"/>
            </w:pPr>
            <w:r>
              <w:t>-1.5115</w:t>
            </w:r>
          </w:p>
        </w:tc>
        <w:tc>
          <w:tcPr>
            <w:tcW w:type="dxa" w:w="1234"/>
          </w:tcPr>
          <w:p>
            <w:pPr>
              <w:pStyle w:val="Compact"/>
              <w:ind w:firstLine="0" w:firstLineChars="0"/>
            </w:pPr>
            <w:r>
              <w:t>0.9031</w:t>
            </w:r>
          </w:p>
        </w:tc>
        <w:tc>
          <w:tcPr>
            <w:tcW w:type="dxa" w:w="1234"/>
          </w:tcPr>
          <w:p>
            <w:pPr>
              <w:pStyle w:val="Compact"/>
              <w:ind w:firstLine="0" w:firstLineChars="0"/>
            </w:pPr>
            <w:r>
              <w:t>3.2902</w:t>
            </w:r>
          </w:p>
        </w:tc>
      </w:tr>
      <w:tr>
        <w:tc>
          <w:tcPr>
            <w:tcW w:type="dxa" w:w="1234"/>
          </w:tcPr>
          <w:p>
            <w:pPr>
              <w:pStyle w:val="Compact"/>
              <w:ind w:firstLine="0" w:firstLineChars="0"/>
            </w:pPr>
            <w:r>
              <w:t>policy_intensity</w:t>
            </w:r>
          </w:p>
        </w:tc>
        <w:tc>
          <w:tcPr>
            <w:tcW w:type="dxa" w:w="1234"/>
          </w:tcPr>
          <w:p>
            <w:pPr>
              <w:pStyle w:val="Compact"/>
              <w:ind w:firstLine="0" w:firstLineChars="0"/>
            </w:pPr>
            <w:r>
              <w:t>279</w:t>
            </w:r>
          </w:p>
        </w:tc>
        <w:tc>
          <w:tcPr>
            <w:tcW w:type="dxa" w:w="1234"/>
          </w:tcPr>
          <w:p>
            <w:pPr>
              <w:pStyle w:val="Compact"/>
              <w:ind w:firstLine="0" w:firstLineChars="0"/>
            </w:pPr>
            <w:r>
              <w:t>1.3239</w:t>
            </w:r>
          </w:p>
        </w:tc>
        <w:tc>
          <w:tcPr>
            <w:tcW w:type="dxa" w:w="1234"/>
          </w:tcPr>
          <w:p>
            <w:pPr>
              <w:pStyle w:val="Compact"/>
              <w:ind w:firstLine="0" w:firstLineChars="0"/>
            </w:pPr>
            <w:r>
              <w:t>0.7823</w:t>
            </w:r>
          </w:p>
        </w:tc>
        <w:tc>
          <w:tcPr>
            <w:tcW w:type="dxa" w:w="1234"/>
          </w:tcPr>
          <w:p>
            <w:pPr>
              <w:pStyle w:val="Compact"/>
              <w:ind w:firstLine="0" w:firstLineChars="0"/>
            </w:pPr>
            <w:r>
              <w:t>-0.6203</w:t>
            </w:r>
          </w:p>
        </w:tc>
        <w:tc>
          <w:tcPr>
            <w:tcW w:type="dxa" w:w="1234"/>
          </w:tcPr>
          <w:p>
            <w:pPr>
              <w:pStyle w:val="Compact"/>
              <w:ind w:firstLine="0" w:firstLineChars="0"/>
            </w:pPr>
            <w:r>
              <w:t>1.3609</w:t>
            </w:r>
          </w:p>
        </w:tc>
        <w:tc>
          <w:tcPr>
            <w:tcW w:type="dxa" w:w="1234"/>
          </w:tcPr>
          <w:p>
            <w:pPr>
              <w:pStyle w:val="Compact"/>
              <w:ind w:firstLine="0" w:firstLineChars="0"/>
            </w:pPr>
            <w:r>
              <w:t>3.2145</w:t>
            </w:r>
          </w:p>
        </w:tc>
      </w:tr>
      <w:tr>
        <w:tc>
          <w:tcPr>
            <w:tcW w:type="dxa" w:w="1234"/>
          </w:tcPr>
          <w:p>
            <w:pPr>
              <w:pStyle w:val="Compact"/>
              <w:ind w:firstLine="0" w:firstLineChars="0"/>
            </w:pPr>
            <w:r>
              <w:t>infra_density</w:t>
            </w:r>
          </w:p>
        </w:tc>
        <w:tc>
          <w:tcPr>
            <w:tcW w:type="dxa" w:w="1234"/>
          </w:tcPr>
          <w:p>
            <w:pPr>
              <w:pStyle w:val="Compact"/>
              <w:ind w:firstLine="0" w:firstLineChars="0"/>
            </w:pPr>
            <w:r>
              <w:t>279</w:t>
            </w:r>
          </w:p>
        </w:tc>
        <w:tc>
          <w:tcPr>
            <w:tcW w:type="dxa" w:w="1234"/>
          </w:tcPr>
          <w:p>
            <w:pPr>
              <w:pStyle w:val="Compact"/>
              <w:ind w:firstLine="0" w:firstLineChars="0"/>
            </w:pPr>
            <w:r>
              <w:t>0.7689</w:t>
            </w:r>
          </w:p>
        </w:tc>
        <w:tc>
          <w:tcPr>
            <w:tcW w:type="dxa" w:w="1234"/>
          </w:tcPr>
          <w:p>
            <w:pPr>
              <w:pStyle w:val="Compact"/>
              <w:ind w:firstLine="0" w:firstLineChars="0"/>
            </w:pPr>
            <w:r>
              <w:t>0.7575</w:t>
            </w:r>
          </w:p>
        </w:tc>
        <w:tc>
          <w:tcPr>
            <w:tcW w:type="dxa" w:w="1234"/>
          </w:tcPr>
          <w:p>
            <w:pPr>
              <w:pStyle w:val="Compact"/>
              <w:ind w:firstLine="0" w:firstLineChars="0"/>
            </w:pPr>
            <w:r>
              <w:t>-1.2980</w:t>
            </w:r>
          </w:p>
        </w:tc>
        <w:tc>
          <w:tcPr>
            <w:tcW w:type="dxa" w:w="1234"/>
          </w:tcPr>
          <w:p>
            <w:pPr>
              <w:pStyle w:val="Compact"/>
              <w:ind w:firstLine="0" w:firstLineChars="0"/>
            </w:pPr>
            <w:r>
              <w:t>0.8533</w:t>
            </w:r>
          </w:p>
        </w:tc>
        <w:tc>
          <w:tcPr>
            <w:tcW w:type="dxa" w:w="1234"/>
          </w:tcPr>
          <w:p>
            <w:pPr>
              <w:pStyle w:val="Compact"/>
              <w:ind w:firstLine="0" w:firstLineChars="0"/>
            </w:pPr>
            <w:r>
              <w:t>2.6946</w:t>
            </w:r>
          </w:p>
        </w:tc>
      </w:tr>
      <w:tr>
        <w:tc>
          <w:tcPr>
            <w:tcW w:type="dxa" w:w="1234"/>
          </w:tcPr>
          <w:p>
            <w:pPr>
              <w:pStyle w:val="Compact"/>
              <w:ind w:firstLine="0" w:firstLineChars="0"/>
            </w:pPr>
            <w:r>
              <w:t>market_openness</w:t>
            </w:r>
          </w:p>
        </w:tc>
        <w:tc>
          <w:tcPr>
            <w:tcW w:type="dxa" w:w="1234"/>
          </w:tcPr>
          <w:p>
            <w:pPr>
              <w:pStyle w:val="Compact"/>
              <w:ind w:firstLine="0" w:firstLineChars="0"/>
            </w:pPr>
            <w:r>
              <w:t>279</w:t>
            </w:r>
          </w:p>
        </w:tc>
        <w:tc>
          <w:tcPr>
            <w:tcW w:type="dxa" w:w="1234"/>
          </w:tcPr>
          <w:p>
            <w:pPr>
              <w:pStyle w:val="Compact"/>
              <w:ind w:firstLine="0" w:firstLineChars="0"/>
            </w:pPr>
            <w:r>
              <w:t>0.5048</w:t>
            </w:r>
          </w:p>
        </w:tc>
        <w:tc>
          <w:tcPr>
            <w:tcW w:type="dxa" w:w="1234"/>
          </w:tcPr>
          <w:p>
            <w:pPr>
              <w:pStyle w:val="Compact"/>
              <w:ind w:firstLine="0" w:firstLineChars="0"/>
            </w:pPr>
            <w:r>
              <w:t>0.2956</w:t>
            </w:r>
          </w:p>
        </w:tc>
        <w:tc>
          <w:tcPr>
            <w:tcW w:type="dxa" w:w="1234"/>
          </w:tcPr>
          <w:p>
            <w:pPr>
              <w:pStyle w:val="Compact"/>
              <w:ind w:firstLine="0" w:firstLineChars="0"/>
            </w:pPr>
            <w:r>
              <w:t>0.0065</w:t>
            </w:r>
          </w:p>
        </w:tc>
        <w:tc>
          <w:tcPr>
            <w:tcW w:type="dxa" w:w="1234"/>
          </w:tcPr>
          <w:p>
            <w:pPr>
              <w:pStyle w:val="Compact"/>
              <w:ind w:firstLine="0" w:firstLineChars="0"/>
            </w:pPr>
            <w:r>
              <w:t>0.5032</w:t>
            </w:r>
          </w:p>
        </w:tc>
        <w:tc>
          <w:tcPr>
            <w:tcW w:type="dxa" w:w="1234"/>
          </w:tcPr>
          <w:p>
            <w:pPr>
              <w:pStyle w:val="Compact"/>
              <w:ind w:firstLine="0" w:firstLineChars="0"/>
            </w:pPr>
            <w:r>
              <w:t>0.9983</w:t>
            </w:r>
          </w:p>
        </w:tc>
      </w:tr>
      <w:tr>
        <w:tc>
          <w:tcPr>
            <w:tcW w:type="dxa" w:w="1234"/>
          </w:tcPr>
          <w:p>
            <w:pPr>
              <w:pStyle w:val="Compact"/>
              <w:ind w:firstLine="0" w:firstLineChars="0"/>
            </w:pPr>
            <w:r>
              <w:t>gdp_ln</w:t>
            </w:r>
          </w:p>
        </w:tc>
        <w:tc>
          <w:tcPr>
            <w:tcW w:type="dxa" w:w="1234"/>
          </w:tcPr>
          <w:p>
            <w:pPr>
              <w:pStyle w:val="Compact"/>
              <w:ind w:firstLine="0" w:firstLineChars="0"/>
            </w:pPr>
            <w:r>
              <w:t>279</w:t>
            </w:r>
          </w:p>
        </w:tc>
        <w:tc>
          <w:tcPr>
            <w:tcW w:type="dxa" w:w="1234"/>
          </w:tcPr>
          <w:p>
            <w:pPr>
              <w:pStyle w:val="Compact"/>
              <w:ind w:firstLine="0" w:firstLineChars="0"/>
            </w:pPr>
            <w:r>
              <w:t>9.5424</w:t>
            </w:r>
          </w:p>
        </w:tc>
        <w:tc>
          <w:tcPr>
            <w:tcW w:type="dxa" w:w="1234"/>
          </w:tcPr>
          <w:p>
            <w:pPr>
              <w:pStyle w:val="Compact"/>
              <w:ind w:firstLine="0" w:firstLineChars="0"/>
            </w:pPr>
            <w:r>
              <w:t>0.8970</w:t>
            </w:r>
          </w:p>
        </w:tc>
        <w:tc>
          <w:tcPr>
            <w:tcW w:type="dxa" w:w="1234"/>
          </w:tcPr>
          <w:p>
            <w:pPr>
              <w:pStyle w:val="Compact"/>
              <w:ind w:firstLine="0" w:firstLineChars="0"/>
            </w:pPr>
            <w:r>
              <w:t>8.0021</w:t>
            </w:r>
          </w:p>
        </w:tc>
        <w:tc>
          <w:tcPr>
            <w:tcW w:type="dxa" w:w="1234"/>
          </w:tcPr>
          <w:p>
            <w:pPr>
              <w:pStyle w:val="Compact"/>
              <w:ind w:firstLine="0" w:firstLineChars="0"/>
            </w:pPr>
            <w:r>
              <w:t>9.4905</w:t>
            </w:r>
          </w:p>
        </w:tc>
        <w:tc>
          <w:tcPr>
            <w:tcW w:type="dxa" w:w="1234"/>
          </w:tcPr>
          <w:p>
            <w:pPr>
              <w:pStyle w:val="Compact"/>
              <w:ind w:firstLine="0" w:firstLineChars="0"/>
            </w:pPr>
            <w:r>
              <w:t>10.9839</w:t>
            </w:r>
          </w:p>
        </w:tc>
      </w:tr>
      <w:tr>
        <w:tc>
          <w:tcPr>
            <w:tcW w:type="dxa" w:w="1234"/>
          </w:tcPr>
          <w:p>
            <w:pPr>
              <w:pStyle w:val="Compact"/>
              <w:ind w:firstLine="0" w:firstLineChars="0"/>
            </w:pPr>
            <w:r>
              <w:t>urban_rate</w:t>
            </w:r>
          </w:p>
        </w:tc>
        <w:tc>
          <w:tcPr>
            <w:tcW w:type="dxa" w:w="1234"/>
          </w:tcPr>
          <w:p>
            <w:pPr>
              <w:pStyle w:val="Compact"/>
              <w:ind w:firstLine="0" w:firstLineChars="0"/>
            </w:pPr>
            <w:r>
              <w:t>279</w:t>
            </w:r>
          </w:p>
        </w:tc>
        <w:tc>
          <w:tcPr>
            <w:tcW w:type="dxa" w:w="1234"/>
          </w:tcPr>
          <w:p>
            <w:pPr>
              <w:pStyle w:val="Compact"/>
              <w:ind w:firstLine="0" w:firstLineChars="0"/>
            </w:pPr>
            <w:r>
              <w:t>0.6487</w:t>
            </w:r>
          </w:p>
        </w:tc>
        <w:tc>
          <w:tcPr>
            <w:tcW w:type="dxa" w:w="1234"/>
          </w:tcPr>
          <w:p>
            <w:pPr>
              <w:pStyle w:val="Compact"/>
              <w:ind w:firstLine="0" w:firstLineChars="0"/>
            </w:pPr>
            <w:r>
              <w:t>0.1479</w:t>
            </w:r>
          </w:p>
        </w:tc>
        <w:tc>
          <w:tcPr>
            <w:tcW w:type="dxa" w:w="1234"/>
          </w:tcPr>
          <w:p>
            <w:pPr>
              <w:pStyle w:val="Compact"/>
              <w:ind w:firstLine="0" w:firstLineChars="0"/>
            </w:pPr>
            <w:r>
              <w:t>0.4022</w:t>
            </w:r>
          </w:p>
        </w:tc>
        <w:tc>
          <w:tcPr>
            <w:tcW w:type="dxa" w:w="1234"/>
          </w:tcPr>
          <w:p>
            <w:pPr>
              <w:pStyle w:val="Compact"/>
              <w:ind w:firstLine="0" w:firstLineChars="0"/>
            </w:pPr>
            <w:r>
              <w:t>0.6478</w:t>
            </w:r>
          </w:p>
        </w:tc>
        <w:tc>
          <w:tcPr>
            <w:tcW w:type="dxa" w:w="1234"/>
          </w:tcPr>
          <w:p>
            <w:pPr>
              <w:pStyle w:val="Compact"/>
              <w:ind w:firstLine="0" w:firstLineChars="0"/>
            </w:pPr>
            <w:r>
              <w:t>0.8981</w:t>
            </w:r>
          </w:p>
        </w:tc>
      </w:tr>
    </w:tbl>
    <w:p>
      <w:pPr>
        <w:pStyle w:val="a0"/>
      </w:pPr>
      <w:r>
        <w:t>注：时间变量 year 仅作面板索引，不进入回归。</w:t>
      </w:r>
    </w:p>
    <w:p>
      <w:pPr>
        <w:pStyle w:val="a0"/>
      </w:pPr>
      <w:r>
        <w:t>从分布看，lowalt_output 均值为 0.7809、标准差 0.8956，policy_intensity 均值为 1.3239、标准差 0.7823，两变量在样本内均具有充分的跨省与跨年变异，为固定效应估计提供了识别基础。</w:t>
      </w:r>
    </w:p>
    <w:p>
      <w:pPr>
        <w:pStyle w:val="2"/>
      </w:pPr>
      <w:r>
        <w:t>基准回归结果</w:t>
      </w:r>
    </w:p>
    <w:p>
      <w:pPr>
        <w:pStyle w:val="a0"/>
      </w:pPr>
      <w:r>
        <w:t>表3 报告基准规格（双向固定效应、省份聚类）的估计结果，检验假设 H1（政策支持强度提高低空经济产出，预期方向 positive）。</w:t>
      </w:r>
    </w:p>
    <w:p>
      <w:pPr>
        <w:pStyle w:val="a0"/>
      </w:pPr>
      <w:r>
        <w:t>表3　政策支持强度与低空经济产出：基准回归</w:t>
      </w:r>
    </w:p>
    <w:tbl>
      <w:tblPr>
        <w:tblStyle w:val="af4"/>
        <w:tblW w:type="pct" w:w="5000"/>
        <w:tblLayout w:type="autofi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pStyle w:val="Compact"/>
              <w:ind w:firstLine="0" w:firstLineChars="0"/>
            </w:pPr>
            <w:r>
              <w:rPr>
                <w:b/>
              </w:rPr>
              <w:t>变量</w:t>
            </w:r>
          </w:p>
        </w:tc>
        <w:tc>
          <w:tcPr>
            <w:tcW w:type="dxa" w:w="4320"/>
          </w:tcPr>
          <w:p>
            <w:pPr>
              <w:pStyle w:val="Compact"/>
              <w:ind w:firstLine="0" w:firstLineChars="0"/>
            </w:pPr>
            <w:r>
              <w:rPr>
                <w:b/>
              </w:rPr>
              <w:t>（1）</w:t>
            </w:r>
          </w:p>
        </w:tc>
      </w:tr>
      <w:tr>
        <w:tc>
          <w:tcPr>
            <w:tcW w:type="dxa" w:w="4320"/>
          </w:tcPr>
          <w:p>
            <w:pPr>
              <w:pStyle w:val="Compact"/>
              <w:ind w:firstLine="0" w:firstLineChars="0"/>
            </w:pPr>
            <w:r>
              <w:t>policy_intensity</w:t>
            </w:r>
          </w:p>
        </w:tc>
        <w:tc>
          <w:tcPr>
            <w:tcW w:type="dxa" w:w="4320"/>
          </w:tcPr>
          <w:p>
            <w:pPr>
              <w:pStyle w:val="Compact"/>
              <w:ind w:firstLine="0" w:firstLineChars="0"/>
            </w:pPr>
            <w:r>
              <w:t>0.4613</w:t>
            </w:r>
            <w:r>
              <w:t>***</w:t>
            </w:r>
          </w:p>
        </w:tc>
      </w:tr>
      <w:tr>
        <w:tc>
          <w:tcPr>
            <w:tcW w:type="dxa" w:w="4320"/>
          </w:tcPr>
          <w:p>
            <w:pPr>
              <w:pStyle w:val="Compact"/>
              <w:ind w:firstLine="0" w:firstLineChars="0"/>
            </w:pPr>
          </w:p>
        </w:tc>
        <w:tc>
          <w:tcPr>
            <w:tcW w:type="dxa" w:w="4320"/>
          </w:tcPr>
          <w:p>
            <w:pPr>
              <w:pStyle w:val="Compact"/>
              <w:ind w:firstLine="0" w:firstLineChars="0"/>
            </w:pPr>
            <w:r>
              <w:t>（0.0398）</w:t>
            </w:r>
          </w:p>
        </w:tc>
      </w:tr>
      <w:tr>
        <w:tc>
          <w:tcPr>
            <w:tcW w:type="dxa" w:w="4320"/>
          </w:tcPr>
          <w:p>
            <w:pPr>
              <w:pStyle w:val="Compact"/>
              <w:ind w:firstLine="0" w:firstLineChars="0"/>
            </w:pPr>
            <w:r>
              <w:t>gdp_ln</w:t>
            </w:r>
          </w:p>
        </w:tc>
        <w:tc>
          <w:tcPr>
            <w:tcW w:type="dxa" w:w="4320"/>
          </w:tcPr>
          <w:p>
            <w:pPr>
              <w:pStyle w:val="Compact"/>
              <w:ind w:firstLine="0" w:firstLineChars="0"/>
            </w:pPr>
            <w:r>
              <w:t>-0.0048</w:t>
            </w:r>
          </w:p>
        </w:tc>
      </w:tr>
      <w:tr>
        <w:tc>
          <w:tcPr>
            <w:tcW w:type="dxa" w:w="4320"/>
          </w:tcPr>
          <w:p>
            <w:pPr>
              <w:pStyle w:val="Compact"/>
              <w:ind w:firstLine="0" w:firstLineChars="0"/>
            </w:pPr>
          </w:p>
        </w:tc>
        <w:tc>
          <w:tcPr>
            <w:tcW w:type="dxa" w:w="4320"/>
          </w:tcPr>
          <w:p>
            <w:pPr>
              <w:pStyle w:val="Compact"/>
              <w:ind w:firstLine="0" w:firstLineChars="0"/>
            </w:pPr>
            <w:r>
              <w:t>（0.0201）</w:t>
            </w:r>
          </w:p>
        </w:tc>
      </w:tr>
      <w:tr>
        <w:tc>
          <w:tcPr>
            <w:tcW w:type="dxa" w:w="4320"/>
          </w:tcPr>
          <w:p>
            <w:pPr>
              <w:pStyle w:val="Compact"/>
              <w:ind w:firstLine="0" w:firstLineChars="0"/>
            </w:pPr>
            <w:r>
              <w:t>urban_rate</w:t>
            </w:r>
          </w:p>
        </w:tc>
        <w:tc>
          <w:tcPr>
            <w:tcW w:type="dxa" w:w="4320"/>
          </w:tcPr>
          <w:p>
            <w:pPr>
              <w:pStyle w:val="Compact"/>
              <w:ind w:firstLine="0" w:firstLineChars="0"/>
            </w:pPr>
            <w:r>
              <w:t>-0.2465</w:t>
            </w:r>
            <w:r>
              <w:t>*</w:t>
            </w:r>
          </w:p>
        </w:tc>
      </w:tr>
      <w:tr>
        <w:tc>
          <w:tcPr>
            <w:tcW w:type="dxa" w:w="4320"/>
          </w:tcPr>
          <w:p>
            <w:pPr>
              <w:pStyle w:val="Compact"/>
              <w:ind w:firstLine="0" w:firstLineChars="0"/>
            </w:pPr>
          </w:p>
        </w:tc>
        <w:tc>
          <w:tcPr>
            <w:tcW w:type="dxa" w:w="4320"/>
          </w:tcPr>
          <w:p>
            <w:pPr>
              <w:pStyle w:val="Compact"/>
              <w:ind w:firstLine="0" w:firstLineChars="0"/>
            </w:pPr>
            <w:r>
              <w:t>（0.1388）</w:t>
            </w:r>
          </w:p>
        </w:tc>
      </w:tr>
      <w:tr>
        <w:tc>
          <w:tcPr>
            <w:tcW w:type="dxa" w:w="4320"/>
          </w:tcPr>
          <w:p>
            <w:pPr>
              <w:pStyle w:val="Compact"/>
              <w:ind w:firstLine="0" w:firstLineChars="0"/>
            </w:pPr>
            <w:r>
              <w:t>N</w:t>
            </w:r>
          </w:p>
        </w:tc>
        <w:tc>
          <w:tcPr>
            <w:tcW w:type="dxa" w:w="4320"/>
          </w:tcPr>
          <w:p>
            <w:pPr>
              <w:pStyle w:val="Compact"/>
              <w:ind w:firstLine="0" w:firstLineChars="0"/>
            </w:pPr>
            <w:r>
              <w:t>279</w:t>
            </w:r>
          </w:p>
        </w:tc>
      </w:tr>
      <w:tr>
        <w:tc>
          <w:tcPr>
            <w:tcW w:type="dxa" w:w="4320"/>
          </w:tcPr>
          <w:p>
            <w:pPr>
              <w:pStyle w:val="Compact"/>
              <w:ind w:firstLine="0" w:firstLineChars="0"/>
            </w:pPr>
            <w:r>
              <w:t>R²</w:t>
            </w:r>
          </w:p>
        </w:tc>
        <w:tc>
          <w:tcPr>
            <w:tcW w:type="dxa" w:w="4320"/>
          </w:tcPr>
          <w:p>
            <w:pPr>
              <w:pStyle w:val="Compact"/>
              <w:ind w:firstLine="0" w:firstLineChars="0"/>
            </w:pPr>
            <w:r>
              <w:t>0.2961</w:t>
            </w:r>
          </w:p>
        </w:tc>
      </w:tr>
      <w:tr>
        <w:tc>
          <w:tcPr>
            <w:tcW w:type="dxa" w:w="4320"/>
          </w:tcPr>
          <w:p>
            <w:pPr>
              <w:pStyle w:val="Compact"/>
              <w:ind w:firstLine="0" w:firstLineChars="0"/>
            </w:pPr>
            <w:r>
              <w:t>固定效应</w:t>
            </w:r>
          </w:p>
        </w:tc>
        <w:tc>
          <w:tcPr>
            <w:tcW w:type="dxa" w:w="4320"/>
          </w:tcPr>
          <w:p>
            <w:pPr>
              <w:pStyle w:val="Compact"/>
              <w:ind w:firstLine="0" w:firstLineChars="0"/>
            </w:pPr>
            <w:r>
              <w:t>province、year</w:t>
            </w:r>
          </w:p>
        </w:tc>
      </w:tr>
    </w:tbl>
    <w:p>
      <w:pPr>
        <w:pStyle w:val="a0"/>
      </w:pPr>
      <w:r>
        <w:t>注：括号内为省份层面聚类稳健标准误；</w:t>
      </w:r>
      <w:r>
        <w:t>***</w:t>
      </w:r>
      <w:r>
        <w:t xml:space="preserve"> p&lt;0.01，</w:t>
      </w:r>
      <w:r>
        <w:t>**</w:t>
      </w:r>
      <w:r>
        <w:t xml:space="preserve"> p&lt;0.05，</w:t>
      </w:r>
      <w:r>
        <w:t>*</w:t>
      </w:r>
      <w:r>
        <w:t xml:space="preserve"> p&lt;0.1（显著性仅作呈现惯例，不参与路线裁决）。</w:t>
      </w:r>
    </w:p>
    <w:p>
      <w:pPr>
        <w:pStyle w:val="a0"/>
      </w:pPr>
      <w:r>
        <w:t>表3第（1）列显示，policy_intensity 的估计系数为 0.4613（聚类标准误 0.0398），方向为正向，在 0.01 水平上显著，与假设 H1 的预期方向一致；N=279，R²=0.2961。可能的解释方向（候选，供研究者确认）：其一，政策经由基础设施密度渠道转化为产出，对应机制假设 H2 的中介路径；其二，政策信号改善市场预期、吸引低空产业链要素集聚，对应课程一档案中的政府引导与产业生态机制线索；其三，试点省份可能存在禀赋等系统性差异，需要城市级准自然实验与异质性检验进一步分辨（对应 G1 证据缺口）。</w:t>
      </w:r>
    </w:p>
    <w:p>
      <w:pPr>
        <w:pStyle w:val="2"/>
      </w:pPr>
      <w:r>
        <w:t>稳健性检验</w:t>
      </w:r>
    </w:p>
    <w:p>
      <w:pPr>
        <w:pStyle w:val="a0"/>
      </w:pPr>
      <w:r>
        <w:t>表4 报告调整控制变量集合后的重估结果，用于检验基准估计的稳定性。</w:t>
      </w:r>
    </w:p>
    <w:p>
      <w:pPr>
        <w:pStyle w:val="a0"/>
      </w:pPr>
      <w:r>
        <w:t>表4　稳健性检验：调整控制变量</w:t>
      </w:r>
    </w:p>
    <w:tbl>
      <w:tblPr>
        <w:tblStyle w:val="af4"/>
        <w:tblW w:type="pct" w:w="5000"/>
        <w:tblLayout w:type="autofit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pPr>
              <w:pStyle w:val="Compact"/>
              <w:ind w:firstLine="0" w:firstLineChars="0"/>
            </w:pPr>
            <w:r>
              <w:rPr>
                <w:b/>
              </w:rPr>
              <w:t>规格</w:t>
            </w:r>
          </w:p>
        </w:tc>
        <w:tc>
          <w:tcPr>
            <w:tcW w:type="dxa" w:w="1728"/>
          </w:tcPr>
          <w:p>
            <w:pPr>
              <w:pStyle w:val="Compact"/>
              <w:ind w:firstLine="0" w:firstLineChars="0"/>
            </w:pPr>
            <w:r>
              <w:rPr>
                <w:b/>
              </w:rPr>
              <w:t>处理变量系数</w:t>
            </w:r>
          </w:p>
        </w:tc>
        <w:tc>
          <w:tcPr>
            <w:tcW w:type="dxa" w:w="1728"/>
          </w:tcPr>
          <w:p>
            <w:pPr>
              <w:pStyle w:val="Compact"/>
              <w:ind w:firstLine="0" w:firstLineChars="0"/>
            </w:pPr>
            <w:r>
              <w:rPr>
                <w:b/>
              </w:rPr>
              <w:t>聚类SE</w:t>
            </w:r>
          </w:p>
        </w:tc>
        <w:tc>
          <w:tcPr>
            <w:tcW w:type="dxa" w:w="1728"/>
          </w:tcPr>
          <w:p>
            <w:pPr>
              <w:pStyle w:val="Compact"/>
              <w:ind w:firstLine="0" w:firstLineChars="0"/>
            </w:pPr>
            <w:r>
              <w:rPr>
                <w:b/>
              </w:rPr>
              <w:t>N</w:t>
            </w:r>
          </w:p>
        </w:tc>
        <w:tc>
          <w:tcPr>
            <w:tcW w:type="dxa" w:w="1728"/>
          </w:tcPr>
          <w:p>
            <w:pPr>
              <w:pStyle w:val="Compact"/>
              <w:ind w:firstLine="0" w:firstLineChars="0"/>
            </w:pPr>
            <w:r>
              <w:rPr>
                <w:b/>
              </w:rPr>
              <w:t>与基准同向</w:t>
            </w:r>
          </w:p>
        </w:tc>
      </w:tr>
      <w:tr>
        <w:tc>
          <w:tcPr>
            <w:tcW w:type="dxa" w:w="1728"/>
          </w:tcPr>
          <w:p>
            <w:pPr>
              <w:pStyle w:val="Compact"/>
              <w:ind w:firstLine="0" w:firstLineChars="0"/>
            </w:pPr>
            <w:r>
              <w:t>robustness-drop-1</w:t>
            </w:r>
          </w:p>
        </w:tc>
        <w:tc>
          <w:tcPr>
            <w:tcW w:type="dxa" w:w="1728"/>
          </w:tcPr>
          <w:p>
            <w:pPr>
              <w:pStyle w:val="Compact"/>
              <w:ind w:firstLine="0" w:firstLineChars="0"/>
            </w:pPr>
            <w:r>
              <w:t>0.4641</w:t>
            </w:r>
            <w:r>
              <w:t>***</w:t>
            </w:r>
          </w:p>
        </w:tc>
        <w:tc>
          <w:tcPr>
            <w:tcW w:type="dxa" w:w="1728"/>
          </w:tcPr>
          <w:p>
            <w:pPr>
              <w:pStyle w:val="Compact"/>
              <w:ind w:firstLine="0" w:firstLineChars="0"/>
            </w:pPr>
            <w:r>
              <w:t>0.0388</w:t>
            </w:r>
          </w:p>
        </w:tc>
        <w:tc>
          <w:tcPr>
            <w:tcW w:type="dxa" w:w="1728"/>
          </w:tcPr>
          <w:p>
            <w:pPr>
              <w:pStyle w:val="Compact"/>
              <w:ind w:firstLine="0" w:firstLineChars="0"/>
            </w:pPr>
            <w:r>
              <w:t>279</w:t>
            </w:r>
          </w:p>
        </w:tc>
        <w:tc>
          <w:tcPr>
            <w:tcW w:type="dxa" w:w="1728"/>
          </w:tcPr>
          <w:p>
            <w:pPr>
              <w:pStyle w:val="Compact"/>
              <w:ind w:firstLine="0" w:firstLineChars="0"/>
            </w:pPr>
            <w:r>
              <w:t>是</w:t>
            </w:r>
          </w:p>
        </w:tc>
      </w:tr>
    </w:tbl>
    <w:p>
      <w:pPr>
        <w:pStyle w:val="a0"/>
      </w:pPr>
      <w:r>
        <w:t>注：括号内为省份层面聚类稳健标准误；</w:t>
      </w:r>
      <w:r>
        <w:t>***</w:t>
      </w:r>
      <w:r>
        <w:t xml:space="preserve"> p&lt;0.01，</w:t>
      </w:r>
      <w:r>
        <w:t>**</w:t>
      </w:r>
      <w:r>
        <w:t xml:space="preserve"> p&lt;0.05，</w:t>
      </w:r>
      <w:r>
        <w:t>*</w:t>
      </w:r>
      <w:r>
        <w:t xml:space="preserve"> p&lt;0.1（显著性仅作呈现惯例，不参与路线裁决）。</w:t>
      </w:r>
    </w:p>
    <w:p>
      <w:pPr>
        <w:pStyle w:val="a0"/>
      </w:pPr>
      <w:r>
        <w:t>重估后 policy_intensity 系数为 0.4641（0.0388），与基准系数 0.4613 同向且幅度接近，主估计对控制变量集合的调整不敏感，稳健性维度未出现方向性变化。</w:t>
      </w:r>
    </w:p>
    <w:p>
      <w:pPr>
        <w:pStyle w:val="2"/>
      </w:pPr>
      <w:r>
        <w:t>异质性分析</w:t>
      </w:r>
    </w:p>
    <w:p>
      <w:pPr>
        <w:pStyle w:val="a0"/>
      </w:pPr>
      <w:r>
        <w:t>表5 按 market_openness 中位数将样本分为high 组（阈值 0.5032，n=140）与low 组（阈值 0.5032，n=139），分组重估基准规格，检验假设 H3（市场化程度调节政策效应）。</w:t>
      </w:r>
    </w:p>
    <w:p>
      <w:pPr>
        <w:pStyle w:val="a0"/>
      </w:pPr>
      <w:r>
        <w:t>表5　异质性分析：按市场化程度中位数分组</w:t>
      </w:r>
    </w:p>
    <w:tbl>
      <w:tblPr>
        <w:tblStyle w:val="af4"/>
        <w:tblW w:type="pct" w:w="5000"/>
        <w:tblLayout w:type="autofi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pPr>
              <w:pStyle w:val="Compact"/>
              <w:ind w:firstLine="0" w:firstLineChars="0"/>
            </w:pPr>
            <w:r>
              <w:rPr>
                <w:b/>
              </w:rPr>
              <w:t>变量</w:t>
            </w:r>
          </w:p>
        </w:tc>
        <w:tc>
          <w:tcPr>
            <w:tcW w:type="dxa" w:w="2880"/>
          </w:tcPr>
          <w:p>
            <w:pPr>
              <w:pStyle w:val="Compact"/>
              <w:ind w:firstLine="0" w:firstLineChars="0"/>
            </w:pPr>
            <w:r>
              <w:rPr>
                <w:b/>
              </w:rPr>
              <w:t>（1）</w:t>
            </w:r>
          </w:p>
        </w:tc>
        <w:tc>
          <w:tcPr>
            <w:tcW w:type="dxa" w:w="2880"/>
          </w:tcPr>
          <w:p>
            <w:pPr>
              <w:pStyle w:val="Compact"/>
              <w:ind w:firstLine="0" w:firstLineChars="0"/>
            </w:pPr>
            <w:r>
              <w:rPr>
                <w:b/>
              </w:rPr>
              <w:t>（2）</w:t>
            </w:r>
          </w:p>
        </w:tc>
      </w:tr>
      <w:tr>
        <w:tc>
          <w:tcPr>
            <w:tcW w:type="dxa" w:w="2880"/>
          </w:tcPr>
          <w:p>
            <w:pPr>
              <w:pStyle w:val="Compact"/>
              <w:ind w:firstLine="0" w:firstLineChars="0"/>
            </w:pPr>
            <w:r>
              <w:t>policy_intensity</w:t>
            </w:r>
          </w:p>
        </w:tc>
        <w:tc>
          <w:tcPr>
            <w:tcW w:type="dxa" w:w="2880"/>
          </w:tcPr>
          <w:p>
            <w:pPr>
              <w:pStyle w:val="Compact"/>
              <w:ind w:firstLine="0" w:firstLineChars="0"/>
            </w:pPr>
            <w:r>
              <w:t>0.4594</w:t>
            </w:r>
            <w:r>
              <w:t>***</w:t>
            </w:r>
          </w:p>
        </w:tc>
        <w:tc>
          <w:tcPr>
            <w:tcW w:type="dxa" w:w="2880"/>
          </w:tcPr>
          <w:p>
            <w:pPr>
              <w:pStyle w:val="Compact"/>
              <w:ind w:firstLine="0" w:firstLineChars="0"/>
            </w:pPr>
            <w:r>
              <w:t>0.4141</w:t>
            </w:r>
            <w:r>
              <w:t>***</w:t>
            </w:r>
          </w:p>
        </w:tc>
      </w:tr>
      <w:tr>
        <w:tc>
          <w:tcPr>
            <w:tcW w:type="dxa" w:w="2880"/>
          </w:tcPr>
          <w:p>
            <w:pPr>
              <w:pStyle w:val="Compact"/>
              <w:ind w:firstLine="0" w:firstLineChars="0"/>
            </w:pPr>
          </w:p>
        </w:tc>
        <w:tc>
          <w:tcPr>
            <w:tcW w:type="dxa" w:w="2880"/>
          </w:tcPr>
          <w:p>
            <w:pPr>
              <w:pStyle w:val="Compact"/>
              <w:ind w:firstLine="0" w:firstLineChars="0"/>
            </w:pPr>
            <w:r>
              <w:t>（0.0661）</w:t>
            </w:r>
          </w:p>
        </w:tc>
        <w:tc>
          <w:tcPr>
            <w:tcW w:type="dxa" w:w="2880"/>
          </w:tcPr>
          <w:p>
            <w:pPr>
              <w:pStyle w:val="Compact"/>
              <w:ind w:firstLine="0" w:firstLineChars="0"/>
            </w:pPr>
            <w:r>
              <w:t>（0.0714）</w:t>
            </w:r>
          </w:p>
        </w:tc>
      </w:tr>
      <w:tr>
        <w:tc>
          <w:tcPr>
            <w:tcW w:type="dxa" w:w="2880"/>
          </w:tcPr>
          <w:p>
            <w:pPr>
              <w:pStyle w:val="Compact"/>
              <w:ind w:firstLine="0" w:firstLineChars="0"/>
            </w:pPr>
            <w:r>
              <w:t>gdp_ln</w:t>
            </w:r>
          </w:p>
        </w:tc>
        <w:tc>
          <w:tcPr>
            <w:tcW w:type="dxa" w:w="2880"/>
          </w:tcPr>
          <w:p>
            <w:pPr>
              <w:pStyle w:val="Compact"/>
              <w:ind w:firstLine="0" w:firstLineChars="0"/>
            </w:pPr>
            <w:r>
              <w:t>-0.0022</w:t>
            </w:r>
          </w:p>
        </w:tc>
        <w:tc>
          <w:tcPr>
            <w:tcW w:type="dxa" w:w="2880"/>
          </w:tcPr>
          <w:p>
            <w:pPr>
              <w:pStyle w:val="Compact"/>
              <w:ind w:firstLine="0" w:firstLineChars="0"/>
            </w:pPr>
            <w:r>
              <w:t>-0.0033</w:t>
            </w:r>
          </w:p>
        </w:tc>
      </w:tr>
      <w:tr>
        <w:tc>
          <w:tcPr>
            <w:tcW w:type="dxa" w:w="2880"/>
          </w:tcPr>
          <w:p>
            <w:pPr>
              <w:pStyle w:val="Compact"/>
              <w:ind w:firstLine="0" w:firstLineChars="0"/>
            </w:pPr>
          </w:p>
        </w:tc>
        <w:tc>
          <w:tcPr>
            <w:tcW w:type="dxa" w:w="2880"/>
          </w:tcPr>
          <w:p>
            <w:pPr>
              <w:pStyle w:val="Compact"/>
              <w:ind w:firstLine="0" w:firstLineChars="0"/>
            </w:pPr>
            <w:r>
              <w:t>（0.0291）</w:t>
            </w:r>
          </w:p>
        </w:tc>
        <w:tc>
          <w:tcPr>
            <w:tcW w:type="dxa" w:w="2880"/>
          </w:tcPr>
          <w:p>
            <w:pPr>
              <w:pStyle w:val="Compact"/>
              <w:ind w:firstLine="0" w:firstLineChars="0"/>
            </w:pPr>
            <w:r>
              <w:t>（0.0296）</w:t>
            </w:r>
          </w:p>
        </w:tc>
      </w:tr>
      <w:tr>
        <w:tc>
          <w:tcPr>
            <w:tcW w:type="dxa" w:w="2880"/>
          </w:tcPr>
          <w:p>
            <w:pPr>
              <w:pStyle w:val="Compact"/>
              <w:ind w:firstLine="0" w:firstLineChars="0"/>
            </w:pPr>
            <w:r>
              <w:t>urban_rate</w:t>
            </w:r>
          </w:p>
        </w:tc>
        <w:tc>
          <w:tcPr>
            <w:tcW w:type="dxa" w:w="2880"/>
          </w:tcPr>
          <w:p>
            <w:pPr>
              <w:pStyle w:val="Compact"/>
              <w:ind w:firstLine="0" w:firstLineChars="0"/>
            </w:pPr>
            <w:r>
              <w:t>-0.0944</w:t>
            </w:r>
          </w:p>
        </w:tc>
        <w:tc>
          <w:tcPr>
            <w:tcW w:type="dxa" w:w="2880"/>
          </w:tcPr>
          <w:p>
            <w:pPr>
              <w:pStyle w:val="Compact"/>
              <w:ind w:firstLine="0" w:firstLineChars="0"/>
            </w:pPr>
            <w:r>
              <w:t>-0.4477</w:t>
            </w:r>
            <w:r>
              <w:t>**</w:t>
            </w:r>
          </w:p>
        </w:tc>
      </w:tr>
      <w:tr>
        <w:tc>
          <w:tcPr>
            <w:tcW w:type="dxa" w:w="2880"/>
          </w:tcPr>
          <w:p>
            <w:pPr>
              <w:pStyle w:val="Compact"/>
              <w:ind w:firstLine="0" w:firstLineChars="0"/>
            </w:pPr>
          </w:p>
        </w:tc>
        <w:tc>
          <w:tcPr>
            <w:tcW w:type="dxa" w:w="2880"/>
          </w:tcPr>
          <w:p>
            <w:pPr>
              <w:pStyle w:val="Compact"/>
              <w:ind w:firstLine="0" w:firstLineChars="0"/>
            </w:pPr>
            <w:r>
              <w:t>（0.1740）</w:t>
            </w:r>
          </w:p>
        </w:tc>
        <w:tc>
          <w:tcPr>
            <w:tcW w:type="dxa" w:w="2880"/>
          </w:tcPr>
          <w:p>
            <w:pPr>
              <w:pStyle w:val="Compact"/>
              <w:ind w:firstLine="0" w:firstLineChars="0"/>
            </w:pPr>
            <w:r>
              <w:t>（0.2014）</w:t>
            </w:r>
          </w:p>
        </w:tc>
      </w:tr>
      <w:tr>
        <w:tc>
          <w:tcPr>
            <w:tcW w:type="dxa" w:w="2880"/>
          </w:tcPr>
          <w:p>
            <w:pPr>
              <w:pStyle w:val="Compact"/>
              <w:ind w:firstLine="0" w:firstLineChars="0"/>
            </w:pPr>
            <w:r>
              <w:t>N</w:t>
            </w:r>
          </w:p>
        </w:tc>
        <w:tc>
          <w:tcPr>
            <w:tcW w:type="dxa" w:w="2880"/>
          </w:tcPr>
          <w:p>
            <w:pPr>
              <w:pStyle w:val="Compact"/>
              <w:ind w:firstLine="0" w:firstLineChars="0"/>
            </w:pPr>
            <w:r>
              <w:t>140</w:t>
            </w:r>
          </w:p>
        </w:tc>
        <w:tc>
          <w:tcPr>
            <w:tcW w:type="dxa" w:w="2880"/>
          </w:tcPr>
          <w:p>
            <w:pPr>
              <w:pStyle w:val="Compact"/>
              <w:ind w:firstLine="0" w:firstLineChars="0"/>
            </w:pPr>
            <w:r>
              <w:t>139</w:t>
            </w:r>
          </w:p>
        </w:tc>
      </w:tr>
      <w:tr>
        <w:tc>
          <w:tcPr>
            <w:tcW w:type="dxa" w:w="2880"/>
          </w:tcPr>
          <w:p>
            <w:pPr>
              <w:pStyle w:val="Compact"/>
              <w:ind w:firstLine="0" w:firstLineChars="0"/>
            </w:pPr>
            <w:r>
              <w:t>R²</w:t>
            </w:r>
          </w:p>
        </w:tc>
        <w:tc>
          <w:tcPr>
            <w:tcW w:type="dxa" w:w="2880"/>
          </w:tcPr>
          <w:p>
            <w:pPr>
              <w:pStyle w:val="Compact"/>
              <w:ind w:firstLine="0" w:firstLineChars="0"/>
            </w:pPr>
            <w:r>
              <w:t>0.2819</w:t>
            </w:r>
          </w:p>
        </w:tc>
        <w:tc>
          <w:tcPr>
            <w:tcW w:type="dxa" w:w="2880"/>
          </w:tcPr>
          <w:p>
            <w:pPr>
              <w:pStyle w:val="Compact"/>
              <w:ind w:firstLine="0" w:firstLineChars="0"/>
            </w:pPr>
            <w:r>
              <w:t>0.3024</w:t>
            </w:r>
          </w:p>
        </w:tc>
      </w:tr>
      <w:tr>
        <w:tc>
          <w:tcPr>
            <w:tcW w:type="dxa" w:w="2880"/>
          </w:tcPr>
          <w:p>
            <w:pPr>
              <w:pStyle w:val="Compact"/>
              <w:ind w:firstLine="0" w:firstLineChars="0"/>
            </w:pPr>
            <w:r>
              <w:t>固定效应</w:t>
            </w:r>
          </w:p>
        </w:tc>
        <w:tc>
          <w:tcPr>
            <w:tcW w:type="dxa" w:w="2880"/>
          </w:tcPr>
          <w:p>
            <w:pPr>
              <w:pStyle w:val="Compact"/>
              <w:ind w:firstLine="0" w:firstLineChars="0"/>
            </w:pPr>
            <w:r>
              <w:t>province、year</w:t>
            </w:r>
          </w:p>
        </w:tc>
        <w:tc>
          <w:tcPr>
            <w:tcW w:type="dxa" w:w="2880"/>
          </w:tcPr>
          <w:p>
            <w:pPr>
              <w:pStyle w:val="Compact"/>
              <w:ind w:firstLine="0" w:firstLineChars="0"/>
            </w:pPr>
            <w:r>
              <w:t>province、year</w:t>
            </w:r>
          </w:p>
        </w:tc>
      </w:tr>
    </w:tbl>
    <w:p>
      <w:pPr>
        <w:pStyle w:val="a0"/>
      </w:pPr>
      <w:r>
        <w:t>注：括号内为省份层面聚类稳健标准误；</w:t>
      </w:r>
      <w:r>
        <w:t>***</w:t>
      </w:r>
      <w:r>
        <w:t xml:space="preserve"> p&lt;0.01，</w:t>
      </w:r>
      <w:r>
        <w:t>**</w:t>
      </w:r>
      <w:r>
        <w:t xml:space="preserve"> p&lt;0.05，</w:t>
      </w:r>
      <w:r>
        <w:t>*</w:t>
      </w:r>
      <w:r>
        <w:t xml:space="preserve"> p&lt;0.1（显著性仅作呈现惯例，不参与路线裁决）。</w:t>
      </w:r>
    </w:p>
    <w:p>
      <w:pPr>
        <w:pStyle w:val="a0"/>
      </w:pPr>
      <w:r>
        <w:t>分组结果显示，高市场化组系数为 0.4594（0.0661），低市场化组为 0.4141（0.0714），高组高于低组，两均与基准方向一致。可能的解释方向（候选，供研究者确认）：其一，市场化程度更高的地区政策落地与资源配置效率更高，对应调节假设 H3；其二，低市场化地区政策对市场机制存在替代或挤出；其三，分组样本量有限，组间差异幅度的解释需谨慎，异质性结论以方向性证据为主。</w:t>
      </w:r>
    </w:p>
    <w:p>
      <w:pPr>
        <w:pStyle w:val="2"/>
      </w:pPr>
      <w:r>
        <w:t>机制检验</w:t>
      </w:r>
    </w:p>
    <w:p>
      <w:pPr>
        <w:pStyle w:val="a0"/>
      </w:pPr>
      <w:r>
        <w:t>表6 报告中介两步法的估计结果：第（1）列为政策强度对基础设施密度，第（2）列为同时纳入政策强度与基础设施密度的产出方程。</w:t>
      </w:r>
    </w:p>
    <w:p>
      <w:pPr>
        <w:pStyle w:val="a0"/>
      </w:pPr>
      <w:r>
        <w:t>表6　机制检验：基础设施密度的中介两步</w:t>
      </w:r>
    </w:p>
    <w:tbl>
      <w:tblPr>
        <w:tblStyle w:val="af4"/>
        <w:tblW w:type="pct" w:w="5000"/>
        <w:tblLayout w:type="autofi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pPr>
              <w:pStyle w:val="Compact"/>
              <w:ind w:firstLine="0" w:firstLineChars="0"/>
            </w:pPr>
            <w:r>
              <w:rPr>
                <w:b/>
              </w:rPr>
              <w:t>变量</w:t>
            </w:r>
          </w:p>
        </w:tc>
        <w:tc>
          <w:tcPr>
            <w:tcW w:type="dxa" w:w="2880"/>
          </w:tcPr>
          <w:p>
            <w:pPr>
              <w:pStyle w:val="Compact"/>
              <w:ind w:firstLine="0" w:firstLineChars="0"/>
            </w:pPr>
            <w:r>
              <w:rPr>
                <w:b/>
              </w:rPr>
              <w:t>（1）中介方程</w:t>
            </w:r>
          </w:p>
        </w:tc>
        <w:tc>
          <w:tcPr>
            <w:tcW w:type="dxa" w:w="2880"/>
          </w:tcPr>
          <w:p>
            <w:pPr>
              <w:pStyle w:val="Compact"/>
              <w:ind w:firstLine="0" w:firstLineChars="0"/>
            </w:pPr>
            <w:r>
              <w:rPr>
                <w:b/>
              </w:rPr>
              <w:t>（2）产出方程</w:t>
            </w:r>
          </w:p>
        </w:tc>
      </w:tr>
      <w:tr>
        <w:tc>
          <w:tcPr>
            <w:tcW w:type="dxa" w:w="2880"/>
          </w:tcPr>
          <w:p>
            <w:pPr>
              <w:pStyle w:val="Compact"/>
              <w:ind w:firstLine="0" w:firstLineChars="0"/>
            </w:pPr>
            <w:r>
              <w:t>policy_intensity</w:t>
            </w:r>
          </w:p>
        </w:tc>
        <w:tc>
          <w:tcPr>
            <w:tcW w:type="dxa" w:w="2880"/>
          </w:tcPr>
          <w:p>
            <w:pPr>
              <w:pStyle w:val="Compact"/>
              <w:ind w:firstLine="0" w:firstLineChars="0"/>
            </w:pPr>
            <w:r>
              <w:t>0.4828</w:t>
            </w:r>
            <w:r>
              <w:t>***</w:t>
            </w:r>
          </w:p>
        </w:tc>
        <w:tc>
          <w:tcPr>
            <w:tcW w:type="dxa" w:w="2880"/>
          </w:tcPr>
          <w:p>
            <w:pPr>
              <w:pStyle w:val="Compact"/>
              <w:ind w:firstLine="0" w:firstLineChars="0"/>
            </w:pPr>
            <w:r>
              <w:t>0.3421</w:t>
            </w:r>
            <w:r>
              <w:t>***</w:t>
            </w:r>
          </w:p>
        </w:tc>
      </w:tr>
      <w:tr>
        <w:tc>
          <w:tcPr>
            <w:tcW w:type="dxa" w:w="2880"/>
          </w:tcPr>
          <w:p>
            <w:pPr>
              <w:pStyle w:val="Compact"/>
              <w:ind w:firstLine="0" w:firstLineChars="0"/>
            </w:pPr>
          </w:p>
        </w:tc>
        <w:tc>
          <w:tcPr>
            <w:tcW w:type="dxa" w:w="2880"/>
          </w:tcPr>
          <w:p>
            <w:pPr>
              <w:pStyle w:val="Compact"/>
              <w:ind w:firstLine="0" w:firstLineChars="0"/>
            </w:pPr>
            <w:r>
              <w:t>（0.0360）</w:t>
            </w:r>
          </w:p>
        </w:tc>
        <w:tc>
          <w:tcPr>
            <w:tcW w:type="dxa" w:w="2880"/>
          </w:tcPr>
          <w:p>
            <w:pPr>
              <w:pStyle w:val="Compact"/>
              <w:ind w:firstLine="0" w:firstLineChars="0"/>
            </w:pPr>
            <w:r>
              <w:t>（0.0480）</w:t>
            </w:r>
          </w:p>
        </w:tc>
      </w:tr>
      <w:tr>
        <w:tc>
          <w:tcPr>
            <w:tcW w:type="dxa" w:w="2880"/>
          </w:tcPr>
          <w:p>
            <w:pPr>
              <w:pStyle w:val="Compact"/>
              <w:ind w:firstLine="0" w:firstLineChars="0"/>
            </w:pPr>
            <w:r>
              <w:t>gdp_ln</w:t>
            </w:r>
          </w:p>
        </w:tc>
        <w:tc>
          <w:tcPr>
            <w:tcW w:type="dxa" w:w="2880"/>
          </w:tcPr>
          <w:p>
            <w:pPr>
              <w:pStyle w:val="Compact"/>
              <w:ind w:firstLine="0" w:firstLineChars="0"/>
            </w:pPr>
            <w:r>
              <w:t>-0.0146</w:t>
            </w:r>
          </w:p>
        </w:tc>
        <w:tc>
          <w:tcPr>
            <w:tcW w:type="dxa" w:w="2880"/>
          </w:tcPr>
          <w:p>
            <w:pPr>
              <w:pStyle w:val="Compact"/>
              <w:ind w:firstLine="0" w:firstLineChars="0"/>
            </w:pPr>
            <w:r>
              <w:t>-0.0012</w:t>
            </w:r>
          </w:p>
        </w:tc>
      </w:tr>
      <w:tr>
        <w:tc>
          <w:tcPr>
            <w:tcW w:type="dxa" w:w="2880"/>
          </w:tcPr>
          <w:p>
            <w:pPr>
              <w:pStyle w:val="Compact"/>
              <w:ind w:firstLine="0" w:firstLineChars="0"/>
            </w:pPr>
          </w:p>
        </w:tc>
        <w:tc>
          <w:tcPr>
            <w:tcW w:type="dxa" w:w="2880"/>
          </w:tcPr>
          <w:p>
            <w:pPr>
              <w:pStyle w:val="Compact"/>
              <w:ind w:firstLine="0" w:firstLineChars="0"/>
            </w:pPr>
            <w:r>
              <w:t>（0.0194）</w:t>
            </w:r>
          </w:p>
        </w:tc>
        <w:tc>
          <w:tcPr>
            <w:tcW w:type="dxa" w:w="2880"/>
          </w:tcPr>
          <w:p>
            <w:pPr>
              <w:pStyle w:val="Compact"/>
              <w:ind w:firstLine="0" w:firstLineChars="0"/>
            </w:pPr>
            <w:r>
              <w:t>（0.0194）</w:t>
            </w:r>
          </w:p>
        </w:tc>
      </w:tr>
      <w:tr>
        <w:tc>
          <w:tcPr>
            <w:tcW w:type="dxa" w:w="2880"/>
          </w:tcPr>
          <w:p>
            <w:pPr>
              <w:pStyle w:val="Compact"/>
              <w:ind w:firstLine="0" w:firstLineChars="0"/>
            </w:pPr>
            <w:r>
              <w:t>urban_rate</w:t>
            </w:r>
          </w:p>
        </w:tc>
        <w:tc>
          <w:tcPr>
            <w:tcW w:type="dxa" w:w="2880"/>
          </w:tcPr>
          <w:p>
            <w:pPr>
              <w:pStyle w:val="Compact"/>
              <w:ind w:firstLine="0" w:firstLineChars="0"/>
            </w:pPr>
            <w:r>
              <w:t>-0.0571</w:t>
            </w:r>
          </w:p>
        </w:tc>
        <w:tc>
          <w:tcPr>
            <w:tcW w:type="dxa" w:w="2880"/>
          </w:tcPr>
          <w:p>
            <w:pPr>
              <w:pStyle w:val="Compact"/>
              <w:ind w:firstLine="0" w:firstLineChars="0"/>
            </w:pPr>
            <w:r>
              <w:t>-0.2324</w:t>
            </w:r>
            <w:r>
              <w:t>*</w:t>
            </w:r>
          </w:p>
        </w:tc>
      </w:tr>
      <w:tr>
        <w:tc>
          <w:tcPr>
            <w:tcW w:type="dxa" w:w="2880"/>
          </w:tcPr>
          <w:p>
            <w:pPr>
              <w:pStyle w:val="Compact"/>
              <w:ind w:firstLine="0" w:firstLineChars="0"/>
            </w:pPr>
          </w:p>
        </w:tc>
        <w:tc>
          <w:tcPr>
            <w:tcW w:type="dxa" w:w="2880"/>
          </w:tcPr>
          <w:p>
            <w:pPr>
              <w:pStyle w:val="Compact"/>
              <w:ind w:firstLine="0" w:firstLineChars="0"/>
            </w:pPr>
            <w:r>
              <w:t>（0.1135）</w:t>
            </w:r>
          </w:p>
        </w:tc>
        <w:tc>
          <w:tcPr>
            <w:tcW w:type="dxa" w:w="2880"/>
          </w:tcPr>
          <w:p>
            <w:pPr>
              <w:pStyle w:val="Compact"/>
              <w:ind w:firstLine="0" w:firstLineChars="0"/>
            </w:pPr>
            <w:r>
              <w:t>（0.1307）</w:t>
            </w:r>
          </w:p>
        </w:tc>
      </w:tr>
      <w:tr>
        <w:tc>
          <w:tcPr>
            <w:tcW w:type="dxa" w:w="2880"/>
          </w:tcPr>
          <w:p>
            <w:pPr>
              <w:pStyle w:val="Compact"/>
              <w:ind w:firstLine="0" w:firstLineChars="0"/>
            </w:pPr>
            <w:r>
              <w:t>infra_density</w:t>
            </w:r>
          </w:p>
        </w:tc>
        <w:tc>
          <w:tcPr>
            <w:tcW w:type="dxa" w:w="2880"/>
          </w:tcPr>
          <w:p>
            <w:pPr>
              <w:pStyle w:val="Compact"/>
              <w:ind w:firstLine="0" w:firstLineChars="0"/>
            </w:pPr>
          </w:p>
        </w:tc>
        <w:tc>
          <w:tcPr>
            <w:tcW w:type="dxa" w:w="2880"/>
          </w:tcPr>
          <w:p>
            <w:pPr>
              <w:pStyle w:val="Compact"/>
              <w:ind w:firstLine="0" w:firstLineChars="0"/>
            </w:pPr>
            <w:r>
              <w:t>0.2470</w:t>
            </w:r>
            <w:r>
              <w:t>***</w:t>
            </w:r>
          </w:p>
        </w:tc>
      </w:tr>
      <w:tr>
        <w:tc>
          <w:tcPr>
            <w:tcW w:type="dxa" w:w="2880"/>
          </w:tcPr>
          <w:p>
            <w:pPr>
              <w:pStyle w:val="Compact"/>
              <w:ind w:firstLine="0" w:firstLineChars="0"/>
            </w:pPr>
          </w:p>
        </w:tc>
        <w:tc>
          <w:tcPr>
            <w:tcW w:type="dxa" w:w="2880"/>
          </w:tcPr>
          <w:p>
            <w:pPr>
              <w:pStyle w:val="Compact"/>
              <w:ind w:firstLine="0" w:firstLineChars="0"/>
            </w:pPr>
          </w:p>
        </w:tc>
        <w:tc>
          <w:tcPr>
            <w:tcW w:type="dxa" w:w="2880"/>
          </w:tcPr>
          <w:p>
            <w:pPr>
              <w:pStyle w:val="Compact"/>
              <w:ind w:firstLine="0" w:firstLineChars="0"/>
            </w:pPr>
            <w:r>
              <w:t>（0.0585）</w:t>
            </w:r>
          </w:p>
        </w:tc>
      </w:tr>
      <w:tr>
        <w:tc>
          <w:tcPr>
            <w:tcW w:type="dxa" w:w="2880"/>
          </w:tcPr>
          <w:p>
            <w:pPr>
              <w:pStyle w:val="Compact"/>
              <w:ind w:firstLine="0" w:firstLineChars="0"/>
            </w:pPr>
            <w:r>
              <w:t>因变量</w:t>
            </w:r>
          </w:p>
        </w:tc>
        <w:tc>
          <w:tcPr>
            <w:tcW w:type="dxa" w:w="2880"/>
          </w:tcPr>
          <w:p>
            <w:pPr>
              <w:pStyle w:val="Compact"/>
              <w:ind w:firstLine="0" w:firstLineChars="0"/>
            </w:pPr>
            <w:r>
              <w:t>infra_density</w:t>
            </w:r>
          </w:p>
        </w:tc>
        <w:tc>
          <w:tcPr>
            <w:tcW w:type="dxa" w:w="2880"/>
          </w:tcPr>
          <w:p>
            <w:pPr>
              <w:pStyle w:val="Compact"/>
              <w:ind w:firstLine="0" w:firstLineChars="0"/>
            </w:pPr>
            <w:r>
              <w:t>lowalt_output</w:t>
            </w:r>
          </w:p>
        </w:tc>
      </w:tr>
      <w:tr>
        <w:tc>
          <w:tcPr>
            <w:tcW w:type="dxa" w:w="2880"/>
          </w:tcPr>
          <w:p>
            <w:pPr>
              <w:pStyle w:val="Compact"/>
              <w:ind w:firstLine="0" w:firstLineChars="0"/>
            </w:pPr>
            <w:r>
              <w:t>N</w:t>
            </w:r>
          </w:p>
        </w:tc>
        <w:tc>
          <w:tcPr>
            <w:tcW w:type="dxa" w:w="2880"/>
          </w:tcPr>
          <w:p>
            <w:pPr>
              <w:pStyle w:val="Compact"/>
              <w:ind w:firstLine="0" w:firstLineChars="0"/>
            </w:pPr>
            <w:r>
              <w:t>279</w:t>
            </w:r>
          </w:p>
        </w:tc>
        <w:tc>
          <w:tcPr>
            <w:tcW w:type="dxa" w:w="2880"/>
          </w:tcPr>
          <w:p>
            <w:pPr>
              <w:pStyle w:val="Compact"/>
              <w:ind w:firstLine="0" w:firstLineChars="0"/>
            </w:pPr>
            <w:r>
              <w:t>279</w:t>
            </w:r>
          </w:p>
        </w:tc>
      </w:tr>
    </w:tbl>
    <w:p>
      <w:pPr>
        <w:pStyle w:val="a0"/>
      </w:pPr>
      <w:r>
        <w:t>注：括号内为省份层面聚类稳健标准误；</w:t>
      </w:r>
      <w:r>
        <w:t>***</w:t>
      </w:r>
      <w:r>
        <w:t xml:space="preserve"> p&lt;0.01，</w:t>
      </w:r>
      <w:r>
        <w:t>**</w:t>
      </w:r>
      <w:r>
        <w:t xml:space="preserve"> p&lt;0.05，</w:t>
      </w:r>
      <w:r>
        <w:t>*</w:t>
      </w:r>
      <w:r>
        <w:t xml:space="preserve"> p&lt;0.1（显著性仅作呈现惯例，不参与路线裁决）。</w:t>
      </w:r>
    </w:p>
    <w:p>
      <w:pPr>
        <w:pStyle w:val="a0"/>
      </w:pPr>
      <w:r>
        <w:t>第一步中 policy_intensity 对基础设施密度的系数为 0.4828（在 0.01 水平上显著）。基础设施密度进入产出方程后，政策系数由 0.4613 变为 0.3421（下降），基础设施密度系数为 0.2470（在 0.01 水平上显著），与部分中介模式一致。可能的解释方向（候选，供研究者确认）：其一，基础设施是政策转化为产出的实质渠道，支持机制假设 H2；其二，产出方程中政策系数仍显著，提示政策同时经由科技创新等其他渠道发挥作用（课程一档案中已有对应机制线索）；其三，中介两步法的识别前提与变量口径仍需在稳健性中核验（对应档案已列的 G3 口径缺口）。</w:t>
      </w:r>
    </w:p>
    <w:p>
      <w:pPr>
        <w:pStyle w:val="2"/>
      </w:pPr>
      <w:r>
        <w:t>证据边界</w:t>
      </w:r>
    </w:p>
    <w:p>
      <w:pPr>
        <w:pStyle w:val="a0"/>
      </w:pPr>
      <w:r>
        <w:t>本文仅包含模型与实证部分；数字、表格和图均绑定结果 artifact、规格回执、模型/数据版本及执行记录。</w:t>
      </w:r>
    </w:p>
    <w:sectPr w:rsidR="00756227" w:rsidRPr="00756227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DBDFC" w14:textId="77777777" w:rsidR="006815FA" w:rsidRDefault="006815FA" w:rsidP="00141B48">
      <w:r>
        <w:separator/>
      </w:r>
    </w:p>
  </w:endnote>
  <w:endnote w:type="continuationSeparator" w:id="0">
    <w:p w14:paraId="1E3237B9" w14:textId="77777777" w:rsidR="006815FA" w:rsidRDefault="006815FA" w:rsidP="00141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 (正文 CS 字体)">
    <w:altName w:val="宋体"/>
    <w:panose1 w:val="020B0604020202020204"/>
    <w:charset w:val="86"/>
    <w:family w:val="roman"/>
    <w:notTrueType/>
    <w:pitch w:val="default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 (标题 CS)">
    <w:altName w:val="宋体"/>
    <w:panose1 w:val="020B0604020202020204"/>
    <w:charset w:val="86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ira Code">
    <w:panose1 w:val="020B0809050000020004"/>
    <w:charset w:val="00"/>
    <w:family w:val="modern"/>
    <w:pitch w:val="fixed"/>
    <w:sig w:usb0="E00002EF" w:usb1="1200F8FB" w:usb2="00000008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89AEE" w14:textId="77777777" w:rsidR="006815FA" w:rsidRDefault="006815FA" w:rsidP="00141B48">
      <w:r>
        <w:separator/>
      </w:r>
    </w:p>
  </w:footnote>
  <w:footnote w:type="continuationSeparator" w:id="0">
    <w:p w14:paraId="7A5B5CE0" w14:textId="77777777" w:rsidR="006815FA" w:rsidRDefault="006815FA" w:rsidP="00141B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1C2D5EE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AE7E8D6C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54F4A8E4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48E4A3D2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774C1C1A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0EC9FC2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DBBA14C4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B428EF1E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F24F2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BEE4A8C8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00A990"/>
    <w:multiLevelType w:val="multilevel"/>
    <w:tmpl w:val="7472B000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1" w15:restartNumberingAfterBreak="0">
    <w:nsid w:val="0000A991"/>
    <w:multiLevelType w:val="multilevel"/>
    <w:tmpl w:val="05EEB5E4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12" w15:restartNumberingAfterBreak="0">
    <w:nsid w:val="00A99411"/>
    <w:multiLevelType w:val="multilevel"/>
    <w:tmpl w:val="578887BA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13" w15:restartNumberingAfterBreak="0">
    <w:nsid w:val="0E04727E"/>
    <w:multiLevelType w:val="multilevel"/>
    <w:tmpl w:val="E15AC8F6"/>
    <w:lvl w:ilvl="0">
      <w:start w:val="1"/>
      <w:numFmt w:val="decimal"/>
      <w:lvlText w:val="%1)"/>
      <w:lvlJc w:val="left"/>
      <w:pPr>
        <w:ind w:left="720" w:hanging="480"/>
      </w:pPr>
      <w:rPr>
        <w:rFonts w:hint="eastAsia"/>
      </w:rPr>
    </w:lvl>
    <w:lvl w:ilvl="1">
      <w:start w:val="1"/>
      <w:numFmt w:val="lowerLetter"/>
      <w:lvlText w:val="%2."/>
      <w:lvlJc w:val="left"/>
      <w:pPr>
        <w:ind w:left="1440" w:hanging="480"/>
      </w:pPr>
      <w:rPr>
        <w:rFonts w:hint="eastAsia"/>
      </w:rPr>
    </w:lvl>
    <w:lvl w:ilvl="2">
      <w:start w:val="1"/>
      <w:numFmt w:val="lowerRoman"/>
      <w:lvlText w:val="%3."/>
      <w:lvlJc w:val="left"/>
      <w:pPr>
        <w:ind w:left="216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880" w:hanging="480"/>
      </w:pPr>
      <w:rPr>
        <w:rFonts w:hint="eastAsia"/>
      </w:rPr>
    </w:lvl>
    <w:lvl w:ilvl="4">
      <w:start w:val="1"/>
      <w:numFmt w:val="decimal"/>
      <w:lvlText w:val="%5."/>
      <w:lvlJc w:val="left"/>
      <w:pPr>
        <w:ind w:left="3600" w:hanging="480"/>
      </w:pPr>
      <w:rPr>
        <w:rFonts w:hint="eastAsia"/>
      </w:rPr>
    </w:lvl>
    <w:lvl w:ilvl="5">
      <w:start w:val="1"/>
      <w:numFmt w:val="decimal"/>
      <w:lvlText w:val="%6."/>
      <w:lvlJc w:val="left"/>
      <w:pPr>
        <w:ind w:left="432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5040" w:hanging="480"/>
      </w:pPr>
      <w:rPr>
        <w:rFonts w:hint="eastAsia"/>
      </w:rPr>
    </w:lvl>
    <w:lvl w:ilvl="7">
      <w:start w:val="1"/>
      <w:numFmt w:val="decimal"/>
      <w:lvlText w:val="%8."/>
      <w:lvlJc w:val="left"/>
      <w:pPr>
        <w:ind w:left="5760" w:hanging="480"/>
      </w:pPr>
      <w:rPr>
        <w:rFonts w:hint="eastAsia"/>
      </w:rPr>
    </w:lvl>
    <w:lvl w:ilvl="8">
      <w:start w:val="1"/>
      <w:numFmt w:val="decimal"/>
      <w:lvlText w:val="%9."/>
      <w:lvlJc w:val="left"/>
      <w:pPr>
        <w:ind w:left="6480" w:hanging="480"/>
      </w:pPr>
      <w:rPr>
        <w:rFonts w:hint="eastAsia"/>
      </w:rPr>
    </w:lvl>
  </w:abstractNum>
  <w:abstractNum w:abstractNumId="14" w15:restartNumberingAfterBreak="0">
    <w:nsid w:val="11CF6EE7"/>
    <w:multiLevelType w:val="multilevel"/>
    <w:tmpl w:val="8E4A44F6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eastAsia"/>
      </w:rPr>
    </w:lvl>
  </w:abstractNum>
  <w:abstractNum w:abstractNumId="15" w15:restartNumberingAfterBreak="0">
    <w:nsid w:val="313152A2"/>
    <w:multiLevelType w:val="hybridMultilevel"/>
    <w:tmpl w:val="AC48E5E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>
      <w:start w:val="1"/>
      <w:numFmt w:val="lowerLetter"/>
      <w:lvlText w:val="%2)"/>
      <w:lvlJc w:val="left"/>
      <w:pPr>
        <w:ind w:left="880" w:hanging="440"/>
      </w:pPr>
    </w:lvl>
    <w:lvl w:ilvl="2" w:tplc="0409001B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64DE5E58"/>
    <w:multiLevelType w:val="multilevel"/>
    <w:tmpl w:val="C2B2AA22"/>
    <w:lvl w:ilvl="0">
      <w:start w:val="1"/>
      <w:numFmt w:val="bullet"/>
      <w:lvlText w:val=""/>
      <w:lvlJc w:val="center"/>
      <w:pPr>
        <w:ind w:left="720" w:hanging="480"/>
      </w:pPr>
      <w:rPr>
        <w:rFonts w:ascii="Wingdings" w:hAnsi="Wingdings" w:hint="default"/>
      </w:r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 w16cid:durableId="353239145">
    <w:abstractNumId w:val="10"/>
  </w:num>
  <w:num w:numId="2" w16cid:durableId="1570843630">
    <w:abstractNumId w:val="11"/>
  </w:num>
  <w:num w:numId="3" w16cid:durableId="210942430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71580747">
    <w:abstractNumId w:val="11"/>
  </w:num>
  <w:num w:numId="5" w16cid:durableId="1922982231">
    <w:abstractNumId w:val="8"/>
  </w:num>
  <w:num w:numId="6" w16cid:durableId="618726680">
    <w:abstractNumId w:val="3"/>
  </w:num>
  <w:num w:numId="7" w16cid:durableId="350645544">
    <w:abstractNumId w:val="2"/>
  </w:num>
  <w:num w:numId="8" w16cid:durableId="1258951334">
    <w:abstractNumId w:val="1"/>
  </w:num>
  <w:num w:numId="9" w16cid:durableId="735860321">
    <w:abstractNumId w:val="0"/>
  </w:num>
  <w:num w:numId="10" w16cid:durableId="1702705439">
    <w:abstractNumId w:val="9"/>
  </w:num>
  <w:num w:numId="11" w16cid:durableId="1207793217">
    <w:abstractNumId w:val="7"/>
  </w:num>
  <w:num w:numId="12" w16cid:durableId="1537234073">
    <w:abstractNumId w:val="6"/>
  </w:num>
  <w:num w:numId="13" w16cid:durableId="1770807419">
    <w:abstractNumId w:val="5"/>
  </w:num>
  <w:num w:numId="14" w16cid:durableId="1050424952">
    <w:abstractNumId w:val="4"/>
  </w:num>
  <w:num w:numId="15" w16cid:durableId="400908196">
    <w:abstractNumId w:val="13"/>
  </w:num>
  <w:num w:numId="16" w16cid:durableId="663972745">
    <w:abstractNumId w:val="16"/>
  </w:num>
  <w:num w:numId="17" w16cid:durableId="179395368">
    <w:abstractNumId w:val="14"/>
  </w:num>
  <w:num w:numId="18" w16cid:durableId="80330716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bordersDoNotSurroundHeader/>
  <w:bordersDoNotSurroundFooter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1DDE"/>
    <w:rsid w:val="00057430"/>
    <w:rsid w:val="00083A05"/>
    <w:rsid w:val="00090279"/>
    <w:rsid w:val="000915A7"/>
    <w:rsid w:val="00141B48"/>
    <w:rsid w:val="00155A54"/>
    <w:rsid w:val="001912E9"/>
    <w:rsid w:val="001A0DB0"/>
    <w:rsid w:val="00210F2E"/>
    <w:rsid w:val="00227FCA"/>
    <w:rsid w:val="002548B9"/>
    <w:rsid w:val="002926AF"/>
    <w:rsid w:val="00356A0A"/>
    <w:rsid w:val="00365D4F"/>
    <w:rsid w:val="003A401E"/>
    <w:rsid w:val="003C33F8"/>
    <w:rsid w:val="003D1DDE"/>
    <w:rsid w:val="00446E08"/>
    <w:rsid w:val="004C1B52"/>
    <w:rsid w:val="00543EED"/>
    <w:rsid w:val="00553978"/>
    <w:rsid w:val="0056461B"/>
    <w:rsid w:val="005A1776"/>
    <w:rsid w:val="005B4EFC"/>
    <w:rsid w:val="005E0D36"/>
    <w:rsid w:val="005F7817"/>
    <w:rsid w:val="0067144A"/>
    <w:rsid w:val="006815FA"/>
    <w:rsid w:val="00697CE1"/>
    <w:rsid w:val="006F367C"/>
    <w:rsid w:val="00756227"/>
    <w:rsid w:val="007F612A"/>
    <w:rsid w:val="008803E1"/>
    <w:rsid w:val="00885E58"/>
    <w:rsid w:val="008E0E2E"/>
    <w:rsid w:val="008F24D2"/>
    <w:rsid w:val="009143F6"/>
    <w:rsid w:val="009229EE"/>
    <w:rsid w:val="0095500F"/>
    <w:rsid w:val="00960F71"/>
    <w:rsid w:val="009F49BA"/>
    <w:rsid w:val="00AB1695"/>
    <w:rsid w:val="00B65C77"/>
    <w:rsid w:val="00B72F20"/>
    <w:rsid w:val="00B966D1"/>
    <w:rsid w:val="00B967C9"/>
    <w:rsid w:val="00BD6163"/>
    <w:rsid w:val="00C24453"/>
    <w:rsid w:val="00C40A8F"/>
    <w:rsid w:val="00C84FDA"/>
    <w:rsid w:val="00D72DD5"/>
    <w:rsid w:val="00E07D1D"/>
    <w:rsid w:val="00E7492F"/>
    <w:rsid w:val="00F909F9"/>
    <w:rsid w:val="00F9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5B78E5"/>
  <w15:docId w15:val="{2E4615A0-D822-428A-B8E6-8D7217577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41B48"/>
    <w:pPr>
      <w:widowControl w:val="0"/>
      <w:spacing w:after="0" w:line="360" w:lineRule="exact"/>
      <w:ind w:firstLineChars="200" w:firstLine="480"/>
      <w:jc w:val="both"/>
    </w:pPr>
    <w:rPr>
      <w:rFonts w:ascii="Times New Roman" w:eastAsia="宋体" w:hAnsi="Times New Roman" w:cs="Times New Roman"/>
      <w:kern w:val="2"/>
      <w:szCs w:val="21"/>
      <w:lang w:eastAsia="zh-CN"/>
    </w:rPr>
  </w:style>
  <w:style w:type="paragraph" w:styleId="1">
    <w:name w:val="heading 1"/>
    <w:aliases w:val="章标题,篇,标题22,篇名,(Titel),章号,大标题,标题 1 Char Char,标题 1 Char Char Char Char Char Char Char,章节,第一章,篇号,章节号,标题 1-GL,H1,h1,h11,h12,h13,h14,h15,h16,宋二,Normal + Font: Helvetica,Bold,Space Before 12 pt,Not Bold,Titre 1 - doc,Titre 1 - doc Char"/>
    <w:next w:val="a0"/>
    <w:link w:val="10"/>
    <w:qFormat/>
    <w:rsid w:val="002926AF"/>
    <w:pPr>
      <w:widowControl w:val="0"/>
      <w:snapToGrid w:val="0"/>
      <w:spacing w:beforeLines="50" w:before="120" w:afterLines="50" w:after="120"/>
      <w:outlineLvl w:val="0"/>
    </w:pPr>
    <w:rPr>
      <w:rFonts w:ascii="Times New Roman" w:eastAsia="黑体" w:hAnsi="Times New Roman" w:cs="Times New Roman (正文 CS 字体)"/>
      <w:kern w:val="2"/>
      <w:szCs w:val="30"/>
      <w:lang w:eastAsia="zh-CN"/>
    </w:rPr>
  </w:style>
  <w:style w:type="paragraph" w:styleId="2">
    <w:name w:val="heading 2"/>
    <w:basedOn w:val="1"/>
    <w:next w:val="a0"/>
    <w:uiPriority w:val="9"/>
    <w:unhideWhenUsed/>
    <w:qFormat/>
    <w:rsid w:val="002926AF"/>
    <w:pPr>
      <w:outlineLvl w:val="1"/>
    </w:pPr>
    <w:rPr>
      <w:sz w:val="21"/>
    </w:rPr>
  </w:style>
  <w:style w:type="paragraph" w:styleId="3">
    <w:name w:val="heading 3"/>
    <w:next w:val="a0"/>
    <w:uiPriority w:val="9"/>
    <w:unhideWhenUsed/>
    <w:qFormat/>
    <w:rsid w:val="002926AF"/>
    <w:pPr>
      <w:keepNext/>
      <w:keepLines/>
      <w:spacing w:after="0"/>
      <w:outlineLvl w:val="2"/>
    </w:pPr>
    <w:rPr>
      <w:rFonts w:ascii="Times New Roman" w:eastAsia="仿宋" w:hAnsi="Times New Roman" w:cs="Times New Roman (标题 CS)"/>
      <w:bCs/>
      <w:sz w:val="21"/>
      <w:lang w:eastAsia="zh-CN"/>
    </w:rPr>
  </w:style>
  <w:style w:type="paragraph" w:styleId="4">
    <w:name w:val="heading 4"/>
    <w:basedOn w:val="a"/>
    <w:next w:val="a0"/>
    <w:uiPriority w:val="9"/>
    <w:unhideWhenUsed/>
    <w:qFormat/>
    <w:rsid w:val="009F49BA"/>
    <w:pPr>
      <w:keepNext/>
      <w:keepLines/>
      <w:spacing w:before="200" w:line="360" w:lineRule="auto"/>
      <w:outlineLvl w:val="3"/>
    </w:pPr>
    <w:rPr>
      <w:rFonts w:eastAsia="黑体" w:cstheme="majorBidi"/>
      <w:bCs/>
      <w:iCs/>
    </w:rPr>
  </w:style>
  <w:style w:type="paragraph" w:styleId="5">
    <w:name w:val="heading 5"/>
    <w:basedOn w:val="a"/>
    <w:next w:val="a0"/>
    <w:uiPriority w:val="9"/>
    <w:unhideWhenUsed/>
    <w:qFormat/>
    <w:rsid w:val="009F49BA"/>
    <w:pPr>
      <w:keepNext/>
      <w:keepLines/>
      <w:numPr>
        <w:ilvl w:val="4"/>
        <w:numId w:val="17"/>
      </w:numPr>
      <w:spacing w:before="200" w:line="360" w:lineRule="auto"/>
      <w:outlineLvl w:val="4"/>
    </w:pPr>
    <w:rPr>
      <w:rFonts w:eastAsia="黑体" w:cstheme="majorBidi"/>
      <w:bCs/>
      <w:iCs/>
    </w:rPr>
  </w:style>
  <w:style w:type="paragraph" w:styleId="6">
    <w:name w:val="heading 6"/>
    <w:basedOn w:val="a"/>
    <w:next w:val="a0"/>
    <w:uiPriority w:val="9"/>
    <w:unhideWhenUsed/>
    <w:qFormat/>
    <w:rsid w:val="009F49BA"/>
    <w:pPr>
      <w:keepNext/>
      <w:keepLines/>
      <w:numPr>
        <w:ilvl w:val="5"/>
        <w:numId w:val="17"/>
      </w:numPr>
      <w:spacing w:before="200" w:line="360" w:lineRule="auto"/>
      <w:outlineLvl w:val="5"/>
    </w:pPr>
    <w:rPr>
      <w:rFonts w:eastAsia="黑体" w:cstheme="majorBidi"/>
      <w:bCs/>
    </w:rPr>
  </w:style>
  <w:style w:type="paragraph" w:styleId="7">
    <w:name w:val="heading 7"/>
    <w:basedOn w:val="a"/>
    <w:next w:val="a0"/>
    <w:uiPriority w:val="9"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8">
    <w:name w:val="heading 8"/>
    <w:basedOn w:val="a"/>
    <w:next w:val="a0"/>
    <w:uiPriority w:val="9"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9">
    <w:name w:val="heading 9"/>
    <w:basedOn w:val="a"/>
    <w:next w:val="a0"/>
    <w:uiPriority w:val="9"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qFormat/>
    <w:rsid w:val="00AB1695"/>
    <w:pPr>
      <w:ind w:firstLine="420"/>
    </w:pPr>
    <w:rPr>
      <w:sz w:val="21"/>
    </w:rPr>
  </w:style>
  <w:style w:type="paragraph" w:customStyle="1" w:styleId="FirstParagraph">
    <w:name w:val="First Paragraph"/>
    <w:basedOn w:val="a0"/>
    <w:next w:val="a0"/>
    <w:qFormat/>
    <w:rsid w:val="008803E1"/>
  </w:style>
  <w:style w:type="paragraph" w:customStyle="1" w:styleId="Compact">
    <w:name w:val="Compact"/>
    <w:basedOn w:val="a0"/>
    <w:qFormat/>
    <w:rsid w:val="005A1776"/>
    <w:pPr>
      <w:spacing w:line="240" w:lineRule="auto"/>
      <w:ind w:firstLineChars="0" w:firstLine="0"/>
      <w:jc w:val="center"/>
    </w:pPr>
    <w:rPr>
      <w:b/>
      <w:sz w:val="18"/>
      <w:szCs w:val="15"/>
    </w:rPr>
  </w:style>
  <w:style w:type="paragraph" w:styleId="a5">
    <w:name w:val="Title"/>
    <w:aliases w:val="篇标题,标题2,表格"/>
    <w:basedOn w:val="a"/>
    <w:next w:val="a0"/>
    <w:link w:val="a6"/>
    <w:qFormat/>
    <w:rsid w:val="00543EED"/>
    <w:pPr>
      <w:keepNext/>
      <w:keepLines/>
      <w:spacing w:before="480" w:after="240"/>
      <w:ind w:firstLineChars="0" w:firstLine="0"/>
      <w:jc w:val="center"/>
    </w:pPr>
    <w:rPr>
      <w:rFonts w:eastAsia="黑体" w:cstheme="majorBidi"/>
      <w:b/>
      <w:bCs/>
      <w:sz w:val="36"/>
      <w:szCs w:val="36"/>
    </w:rPr>
  </w:style>
  <w:style w:type="paragraph" w:styleId="a7">
    <w:name w:val="Subtitle"/>
    <w:basedOn w:val="a5"/>
    <w:next w:val="a0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rsid w:val="00553978"/>
    <w:pPr>
      <w:keepNext/>
      <w:keepLines/>
      <w:jc w:val="center"/>
    </w:pPr>
    <w:rPr>
      <w:rFonts w:ascii="Times New Roman" w:hAnsi="Times New Roman"/>
    </w:rPr>
  </w:style>
  <w:style w:type="paragraph" w:styleId="a8">
    <w:name w:val="Date"/>
    <w:next w:val="a0"/>
    <w:qFormat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paragraph" w:styleId="aa">
    <w:name w:val="Block Text"/>
    <w:basedOn w:val="a0"/>
    <w:next w:val="a0"/>
    <w:uiPriority w:val="9"/>
    <w:unhideWhenUsed/>
    <w:qFormat/>
    <w:rsid w:val="00057430"/>
    <w:pPr>
      <w:pBdr>
        <w:top w:val="single" w:sz="8" w:space="1" w:color="auto" w:shadow="1"/>
        <w:left w:val="single" w:sz="8" w:space="4" w:color="auto" w:shadow="1"/>
        <w:bottom w:val="single" w:sz="8" w:space="1" w:color="auto" w:shadow="1"/>
        <w:right w:val="single" w:sz="8" w:space="4" w:color="auto" w:shadow="1"/>
      </w:pBdr>
      <w:shd w:val="clear" w:color="auto" w:fill="D9D9D9" w:themeFill="background1" w:themeFillShade="D9"/>
      <w:spacing w:before="100" w:after="100"/>
      <w:ind w:left="57" w:right="482"/>
    </w:pPr>
  </w:style>
  <w:style w:type="paragraph" w:styleId="ab">
    <w:name w:val="footnote text"/>
    <w:basedOn w:val="a"/>
    <w:uiPriority w:val="9"/>
    <w:unhideWhenUsed/>
    <w:qFormat/>
  </w:style>
  <w:style w:type="table" w:customStyle="1" w:styleId="Table">
    <w:name w:val="Table"/>
    <w:semiHidden/>
    <w:unhideWhenUsed/>
    <w:qFormat/>
    <w:rsid w:val="00697CE1"/>
    <w:pPr>
      <w:jc w:val="center"/>
    </w:pPr>
    <w:rPr>
      <w:rFonts w:ascii="Times New Roman" w:hAnsi="Times New Roman"/>
      <w:sz w:val="20"/>
      <w:szCs w:val="20"/>
      <w:lang w:eastAsia="zh-CN"/>
    </w:rPr>
    <w:tblPr>
      <w:jc w:val="center"/>
      <w:tblInd w:w="0" w:type="dxa"/>
      <w:tblBorders>
        <w:top w:val="single" w:sz="12" w:space="0" w:color="auto"/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  <w:vAlign w:val="center"/>
    </w:tcPr>
    <w:tblStylePr w:type="firstRow">
      <w:pPr>
        <w:jc w:val="center"/>
      </w:pPr>
      <w:rPr>
        <w:rFonts w:ascii="Times New Roman" w:eastAsia="黑体" w:hAnsi="Times New Roman"/>
        <w:b/>
      </w:rPr>
      <w:tblPr/>
      <w:tcPr>
        <w:tcBorders>
          <w:bottom w:val="single" w:sz="0" w:space="0" w:color="auto"/>
        </w:tcBorders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next w:val="FirstParagraph"/>
    <w:link w:val="ad"/>
    <w:autoRedefine/>
    <w:rsid w:val="00090279"/>
    <w:pPr>
      <w:spacing w:after="120"/>
      <w:ind w:leftChars="100" w:left="240" w:rightChars="100" w:right="100"/>
      <w:jc w:val="center"/>
    </w:pPr>
    <w:rPr>
      <w:rFonts w:ascii="Times New Roman" w:hAnsi="Times New Roman"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  <w:rsid w:val="007F612A"/>
    <w:pPr>
      <w:jc w:val="center"/>
    </w:pPr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题注 字符"/>
    <w:basedOn w:val="a1"/>
    <w:link w:val="ac"/>
    <w:rsid w:val="00090279"/>
    <w:rPr>
      <w:rFonts w:ascii="Times New Roman" w:hAnsi="Times New Roman"/>
    </w:rPr>
  </w:style>
  <w:style w:type="character" w:customStyle="1" w:styleId="VerbatimChar">
    <w:name w:val="Verbatim Char"/>
    <w:basedOn w:val="ad"/>
    <w:link w:val="SourceCode"/>
    <w:rsid w:val="00365D4F"/>
    <w:rPr>
      <w:rFonts w:ascii="Fira Code" w:eastAsia="宋体" w:hAnsi="Fira Code" w:cs="Times New Roman (正文 CS 字体)"/>
      <w:color w:val="404040" w:themeColor="text1" w:themeTint="BF"/>
      <w:sz w:val="21"/>
      <w:shd w:val="pct5" w:color="auto" w:fill="auto"/>
      <w:lang w:eastAsia="zh-CN"/>
    </w:rPr>
  </w:style>
  <w:style w:type="character" w:customStyle="1" w:styleId="SectionNumber">
    <w:name w:val="Section Number"/>
    <w:basedOn w:val="ad"/>
    <w:rPr>
      <w:rFonts w:ascii="Times New Roman" w:hAnsi="Times New Roman"/>
    </w:rPr>
  </w:style>
  <w:style w:type="character" w:styleId="ae">
    <w:name w:val="footnote reference"/>
    <w:basedOn w:val="ad"/>
    <w:rPr>
      <w:rFonts w:ascii="Times New Roman" w:hAnsi="Times New Roman"/>
      <w:vertAlign w:val="superscript"/>
    </w:rPr>
  </w:style>
  <w:style w:type="character" w:styleId="af">
    <w:name w:val="Hyperlink"/>
    <w:basedOn w:val="ad"/>
    <w:uiPriority w:val="99"/>
    <w:rsid w:val="00D72DD5"/>
    <w:rPr>
      <w:rFonts w:ascii="Times New Roman" w:hAnsi="Times New Roman"/>
      <w:color w:val="4F81BD" w:themeColor="accent1"/>
      <w:u w:val="none"/>
    </w:rPr>
  </w:style>
  <w:style w:type="paragraph" w:styleId="TOC">
    <w:name w:val="TOC Heading"/>
    <w:basedOn w:val="a5"/>
    <w:next w:val="a0"/>
    <w:uiPriority w:val="39"/>
    <w:unhideWhenUsed/>
    <w:qFormat/>
    <w:rsid w:val="008F24D2"/>
    <w:pPr>
      <w:spacing w:before="240"/>
    </w:pPr>
    <w:rPr>
      <w:b w:val="0"/>
      <w:bCs w:val="0"/>
    </w:rPr>
  </w:style>
  <w:style w:type="paragraph" w:customStyle="1" w:styleId="SourceCode">
    <w:name w:val="Source Code"/>
    <w:basedOn w:val="a"/>
    <w:link w:val="VerbatimChar"/>
    <w:autoRedefine/>
    <w:qFormat/>
    <w:rsid w:val="00365D4F"/>
    <w:pPr>
      <w:pBdr>
        <w:top w:val="single" w:sz="8" w:space="10" w:color="BFBFBF" w:themeColor="background1" w:themeShade="BF"/>
        <w:left w:val="single" w:sz="8" w:space="10" w:color="BFBFBF" w:themeColor="background1" w:themeShade="BF"/>
        <w:bottom w:val="single" w:sz="8" w:space="10" w:color="BFBFBF" w:themeColor="background1" w:themeShade="BF"/>
        <w:right w:val="single" w:sz="8" w:space="10" w:color="BFBFBF" w:themeColor="background1" w:themeShade="BF"/>
      </w:pBdr>
      <w:shd w:val="pct5" w:color="auto" w:fill="auto"/>
      <w:wordWrap w:val="0"/>
    </w:pPr>
    <w:rPr>
      <w:rFonts w:ascii="Fira Code" w:hAnsi="Fira Code" w:cs="Times New Roman (正文 CS 字体)"/>
      <w:color w:val="404040" w:themeColor="text1" w:themeTint="BF"/>
      <w:sz w:val="21"/>
      <w:shd w:val="pct5" w:color="auto" w:fill="auto"/>
    </w:rPr>
  </w:style>
  <w:style w:type="character" w:customStyle="1" w:styleId="KeywordTok">
    <w:name w:val="KeywordTok"/>
    <w:basedOn w:val="VerbatimChar"/>
    <w:rPr>
      <w:rFonts w:ascii="Fira Code" w:eastAsia="宋体" w:hAnsi="Fira Code" w:cs="Times New Roman (正文 CS 字体)"/>
      <w:color w:val="D73A49"/>
      <w:sz w:val="21"/>
      <w:shd w:val="pct5" w:color="auto" w:fill="auto"/>
      <w:lang w:eastAsia="zh-CN"/>
    </w:rPr>
  </w:style>
  <w:style w:type="character" w:customStyle="1" w:styleId="DataTypeTok">
    <w:name w:val="DataTypeTok"/>
    <w:basedOn w:val="VerbatimChar"/>
    <w:rPr>
      <w:rFonts w:ascii="Fira Code" w:eastAsia="宋体" w:hAnsi="Fira Code" w:cs="Times New Roman (正文 CS 字体)"/>
      <w:color w:val="D73A49"/>
      <w:sz w:val="21"/>
      <w:shd w:val="pct5" w:color="auto" w:fill="auto"/>
      <w:lang w:eastAsia="zh-CN"/>
    </w:rPr>
  </w:style>
  <w:style w:type="character" w:customStyle="1" w:styleId="DecValTok">
    <w:name w:val="DecValTok"/>
    <w:basedOn w:val="VerbatimChar"/>
    <w:rPr>
      <w:rFonts w:ascii="Fira Code" w:eastAsia="宋体" w:hAnsi="Fira Code" w:cs="Times New Roman (正文 CS 字体)"/>
      <w:color w:val="005CC5"/>
      <w:sz w:val="21"/>
      <w:shd w:val="pct5" w:color="auto" w:fill="auto"/>
      <w:lang w:eastAsia="zh-CN"/>
    </w:rPr>
  </w:style>
  <w:style w:type="character" w:customStyle="1" w:styleId="BaseNTok">
    <w:name w:val="BaseNTok"/>
    <w:basedOn w:val="VerbatimChar"/>
    <w:rPr>
      <w:rFonts w:ascii="Fira Code" w:eastAsia="宋体" w:hAnsi="Fira Code" w:cs="Times New Roman (正文 CS 字体)"/>
      <w:color w:val="005CC5"/>
      <w:sz w:val="21"/>
      <w:shd w:val="pct5" w:color="auto" w:fill="auto"/>
      <w:lang w:eastAsia="zh-CN"/>
    </w:rPr>
  </w:style>
  <w:style w:type="character" w:customStyle="1" w:styleId="FloatTok">
    <w:name w:val="FloatTok"/>
    <w:basedOn w:val="VerbatimChar"/>
    <w:rPr>
      <w:rFonts w:ascii="Fira Code" w:eastAsia="宋体" w:hAnsi="Fira Code" w:cs="Times New Roman (正文 CS 字体)"/>
      <w:color w:val="005CC5"/>
      <w:sz w:val="21"/>
      <w:shd w:val="pct5" w:color="auto" w:fill="auto"/>
      <w:lang w:eastAsia="zh-CN"/>
    </w:rPr>
  </w:style>
  <w:style w:type="character" w:customStyle="1" w:styleId="ConstantTok">
    <w:name w:val="ConstantTok"/>
    <w:basedOn w:val="VerbatimChar"/>
    <w:rPr>
      <w:rFonts w:ascii="Fira Code" w:eastAsia="宋体" w:hAnsi="Fira Code" w:cs="Times New Roman (正文 CS 字体)"/>
      <w:color w:val="005CC5"/>
      <w:sz w:val="21"/>
      <w:shd w:val="pct5" w:color="auto" w:fill="auto"/>
      <w:lang w:eastAsia="zh-CN"/>
    </w:rPr>
  </w:style>
  <w:style w:type="character" w:customStyle="1" w:styleId="CharTok">
    <w:name w:val="CharTok"/>
    <w:basedOn w:val="VerbatimChar"/>
    <w:rPr>
      <w:rFonts w:ascii="Fira Code" w:eastAsia="宋体" w:hAnsi="Fira Code" w:cs="Times New Roman (正文 CS 字体)"/>
      <w:color w:val="032F62"/>
      <w:sz w:val="21"/>
      <w:shd w:val="pct5" w:color="auto" w:fill="auto"/>
      <w:lang w:eastAsia="zh-CN"/>
    </w:rPr>
  </w:style>
  <w:style w:type="character" w:customStyle="1" w:styleId="SpecialCharTok">
    <w:name w:val="SpecialCharTok"/>
    <w:basedOn w:val="VerbatimChar"/>
    <w:rPr>
      <w:rFonts w:ascii="Fira Code" w:eastAsia="宋体" w:hAnsi="Fira Code" w:cs="Times New Roman (正文 CS 字体)"/>
      <w:color w:val="005CC5"/>
      <w:sz w:val="21"/>
      <w:shd w:val="pct5" w:color="auto" w:fill="auto"/>
      <w:lang w:eastAsia="zh-CN"/>
    </w:rPr>
  </w:style>
  <w:style w:type="character" w:customStyle="1" w:styleId="StringTok">
    <w:name w:val="StringTok"/>
    <w:basedOn w:val="VerbatimChar"/>
    <w:rPr>
      <w:rFonts w:ascii="Fira Code" w:eastAsia="宋体" w:hAnsi="Fira Code" w:cs="Times New Roman (正文 CS 字体)"/>
      <w:color w:val="032F62"/>
      <w:sz w:val="21"/>
      <w:shd w:val="pct5" w:color="auto" w:fill="auto"/>
      <w:lang w:eastAsia="zh-CN"/>
    </w:rPr>
  </w:style>
  <w:style w:type="character" w:customStyle="1" w:styleId="VerbatimStringTok">
    <w:name w:val="VerbatimStringTok"/>
    <w:basedOn w:val="VerbatimChar"/>
    <w:rPr>
      <w:rFonts w:ascii="Fira Code" w:eastAsia="宋体" w:hAnsi="Fira Code" w:cs="Times New Roman (正文 CS 字体)"/>
      <w:color w:val="032F62"/>
      <w:sz w:val="21"/>
      <w:shd w:val="pct5" w:color="auto" w:fill="auto"/>
      <w:lang w:eastAsia="zh-CN"/>
    </w:rPr>
  </w:style>
  <w:style w:type="character" w:customStyle="1" w:styleId="SpecialStringTok">
    <w:name w:val="SpecialStringTok"/>
    <w:basedOn w:val="VerbatimChar"/>
    <w:rPr>
      <w:rFonts w:ascii="Fira Code" w:eastAsia="宋体" w:hAnsi="Fira Code" w:cs="Times New Roman (正文 CS 字体)"/>
      <w:color w:val="032F62"/>
      <w:sz w:val="21"/>
      <w:shd w:val="pct5" w:color="auto" w:fill="auto"/>
      <w:lang w:eastAsia="zh-CN"/>
    </w:rPr>
  </w:style>
  <w:style w:type="character" w:customStyle="1" w:styleId="ImportTok">
    <w:name w:val="ImportTok"/>
    <w:basedOn w:val="VerbatimChar"/>
    <w:rPr>
      <w:rFonts w:ascii="Fira Code" w:eastAsia="宋体" w:hAnsi="Fira Code" w:cs="Times New Roman (正文 CS 字体)"/>
      <w:color w:val="032F62"/>
      <w:sz w:val="21"/>
      <w:shd w:val="pct5" w:color="auto" w:fill="auto"/>
      <w:lang w:eastAsia="zh-CN"/>
    </w:rPr>
  </w:style>
  <w:style w:type="character" w:customStyle="1" w:styleId="CommentTok">
    <w:name w:val="CommentTok"/>
    <w:basedOn w:val="VerbatimChar"/>
    <w:rPr>
      <w:rFonts w:ascii="Fira Code" w:eastAsia="宋体" w:hAnsi="Fira Code" w:cs="Times New Roman (正文 CS 字体)"/>
      <w:color w:val="6A737D"/>
      <w:sz w:val="21"/>
      <w:shd w:val="pct5" w:color="auto" w:fill="auto"/>
      <w:lang w:eastAsia="zh-CN"/>
    </w:rPr>
  </w:style>
  <w:style w:type="character" w:customStyle="1" w:styleId="DocumentationTok">
    <w:name w:val="DocumentationTok"/>
    <w:basedOn w:val="VerbatimChar"/>
    <w:rPr>
      <w:rFonts w:ascii="Fira Code" w:eastAsia="宋体" w:hAnsi="Fira Code" w:cs="Times New Roman (正文 CS 字体)"/>
      <w:color w:val="6A737D"/>
      <w:sz w:val="21"/>
      <w:shd w:val="pct5" w:color="auto" w:fill="auto"/>
      <w:lang w:eastAsia="zh-CN"/>
    </w:rPr>
  </w:style>
  <w:style w:type="character" w:customStyle="1" w:styleId="AnnotationTok">
    <w:name w:val="AnnotationTok"/>
    <w:basedOn w:val="VerbatimChar"/>
    <w:rPr>
      <w:rFonts w:ascii="Fira Code" w:eastAsia="宋体" w:hAnsi="Fira Code" w:cs="Times New Roman (正文 CS 字体)"/>
      <w:color w:val="6A737D"/>
      <w:sz w:val="21"/>
      <w:shd w:val="pct5" w:color="auto" w:fill="auto"/>
      <w:lang w:eastAsia="zh-CN"/>
    </w:rPr>
  </w:style>
  <w:style w:type="character" w:customStyle="1" w:styleId="CommentVarTok">
    <w:name w:val="CommentVarTok"/>
    <w:basedOn w:val="VerbatimChar"/>
    <w:rPr>
      <w:rFonts w:ascii="Fira Code" w:eastAsia="宋体" w:hAnsi="Fira Code" w:cs="Times New Roman (正文 CS 字体)"/>
      <w:color w:val="6A737D"/>
      <w:sz w:val="21"/>
      <w:shd w:val="pct5" w:color="auto" w:fill="auto"/>
      <w:lang w:eastAsia="zh-CN"/>
    </w:rPr>
  </w:style>
  <w:style w:type="character" w:customStyle="1" w:styleId="OtherTok">
    <w:name w:val="OtherTok"/>
    <w:basedOn w:val="VerbatimChar"/>
    <w:rPr>
      <w:rFonts w:ascii="Fira Code" w:eastAsia="宋体" w:hAnsi="Fira Code" w:cs="Times New Roman (正文 CS 字体)"/>
      <w:color w:val="6F42C1"/>
      <w:sz w:val="21"/>
      <w:shd w:val="pct5" w:color="auto" w:fill="auto"/>
      <w:lang w:eastAsia="zh-CN"/>
    </w:rPr>
  </w:style>
  <w:style w:type="character" w:customStyle="1" w:styleId="FunctionTok">
    <w:name w:val="FunctionTok"/>
    <w:basedOn w:val="VerbatimChar"/>
    <w:rPr>
      <w:rFonts w:ascii="Fira Code" w:eastAsia="宋体" w:hAnsi="Fira Code" w:cs="Times New Roman (正文 CS 字体)"/>
      <w:color w:val="6F42C1"/>
      <w:sz w:val="21"/>
      <w:shd w:val="pct5" w:color="auto" w:fill="auto"/>
      <w:lang w:eastAsia="zh-CN"/>
    </w:rPr>
  </w:style>
  <w:style w:type="character" w:customStyle="1" w:styleId="VariableTok">
    <w:name w:val="VariableTok"/>
    <w:basedOn w:val="VerbatimChar"/>
    <w:rPr>
      <w:rFonts w:ascii="Fira Code" w:eastAsia="宋体" w:hAnsi="Fira Code" w:cs="Times New Roman (正文 CS 字体)"/>
      <w:color w:val="E36209"/>
      <w:sz w:val="21"/>
      <w:shd w:val="pct5" w:color="auto" w:fill="auto"/>
      <w:lang w:eastAsia="zh-CN"/>
    </w:rPr>
  </w:style>
  <w:style w:type="character" w:customStyle="1" w:styleId="ControlFlowTok">
    <w:name w:val="ControlFlowTok"/>
    <w:basedOn w:val="VerbatimChar"/>
    <w:rPr>
      <w:rFonts w:ascii="Fira Code" w:eastAsia="宋体" w:hAnsi="Fira Code" w:cs="Times New Roman (正文 CS 字体)"/>
      <w:color w:val="D73A49"/>
      <w:sz w:val="21"/>
      <w:shd w:val="pct5" w:color="auto" w:fill="auto"/>
      <w:lang w:eastAsia="zh-CN"/>
    </w:rPr>
  </w:style>
  <w:style w:type="character" w:customStyle="1" w:styleId="OperatorTok">
    <w:name w:val="OperatorTok"/>
    <w:basedOn w:val="VerbatimChar"/>
    <w:rPr>
      <w:rFonts w:ascii="Fira Code" w:eastAsia="宋体" w:hAnsi="Fira Code" w:cs="Times New Roman (正文 CS 字体)"/>
      <w:color w:val="24292E"/>
      <w:sz w:val="21"/>
      <w:shd w:val="pct5" w:color="auto" w:fill="auto"/>
      <w:lang w:eastAsia="zh-CN"/>
    </w:rPr>
  </w:style>
  <w:style w:type="character" w:customStyle="1" w:styleId="BuiltInTok">
    <w:name w:val="BuiltInTok"/>
    <w:basedOn w:val="VerbatimChar"/>
    <w:rPr>
      <w:rFonts w:ascii="Fira Code" w:eastAsia="宋体" w:hAnsi="Fira Code" w:cs="Times New Roman (正文 CS 字体)"/>
      <w:color w:val="D73A49"/>
      <w:sz w:val="21"/>
      <w:shd w:val="pct5" w:color="auto" w:fill="auto"/>
      <w:lang w:eastAsia="zh-CN"/>
    </w:rPr>
  </w:style>
  <w:style w:type="character" w:customStyle="1" w:styleId="ExtensionTok">
    <w:name w:val="ExtensionTok"/>
    <w:basedOn w:val="VerbatimChar"/>
    <w:rPr>
      <w:rFonts w:ascii="Fira Code" w:eastAsia="宋体" w:hAnsi="Fira Code" w:cs="Times New Roman (正文 CS 字体)"/>
      <w:b/>
      <w:color w:val="D73A49"/>
      <w:sz w:val="21"/>
      <w:shd w:val="pct5" w:color="auto" w:fill="auto"/>
      <w:lang w:eastAsia="zh-CN"/>
    </w:rPr>
  </w:style>
  <w:style w:type="character" w:customStyle="1" w:styleId="PreprocessorTok">
    <w:name w:val="PreprocessorTok"/>
    <w:basedOn w:val="VerbatimChar"/>
    <w:rPr>
      <w:rFonts w:ascii="Fira Code" w:eastAsia="宋体" w:hAnsi="Fira Code" w:cs="Times New Roman (正文 CS 字体)"/>
      <w:color w:val="D73A49"/>
      <w:sz w:val="21"/>
      <w:shd w:val="pct5" w:color="auto" w:fill="auto"/>
      <w:lang w:eastAsia="zh-CN"/>
    </w:rPr>
  </w:style>
  <w:style w:type="character" w:customStyle="1" w:styleId="AttributeTok">
    <w:name w:val="AttributeTok"/>
    <w:basedOn w:val="VerbatimChar"/>
    <w:rPr>
      <w:rFonts w:ascii="Fira Code" w:eastAsia="宋体" w:hAnsi="Fira Code" w:cs="Times New Roman (正文 CS 字体)"/>
      <w:color w:val="D73A49"/>
      <w:sz w:val="21"/>
      <w:shd w:val="pct5" w:color="auto" w:fill="auto"/>
      <w:lang w:eastAsia="zh-CN"/>
    </w:rPr>
  </w:style>
  <w:style w:type="character" w:customStyle="1" w:styleId="RegionMarkerTok">
    <w:name w:val="RegionMarkerTok"/>
    <w:basedOn w:val="VerbatimChar"/>
    <w:rPr>
      <w:rFonts w:ascii="Fira Code" w:eastAsia="宋体" w:hAnsi="Fira Code" w:cs="Times New Roman (正文 CS 字体)"/>
      <w:color w:val="6A737D"/>
      <w:sz w:val="21"/>
      <w:shd w:val="pct5" w:color="auto" w:fill="auto"/>
      <w:lang w:eastAsia="zh-CN"/>
    </w:rPr>
  </w:style>
  <w:style w:type="character" w:customStyle="1" w:styleId="InformationTok">
    <w:name w:val="InformationTok"/>
    <w:basedOn w:val="VerbatimChar"/>
    <w:rPr>
      <w:rFonts w:ascii="Fira Code" w:eastAsia="宋体" w:hAnsi="Fira Code" w:cs="Times New Roman (正文 CS 字体)"/>
      <w:color w:val="6A737D"/>
      <w:sz w:val="21"/>
      <w:shd w:val="pct5" w:color="auto" w:fill="auto"/>
      <w:lang w:eastAsia="zh-CN"/>
    </w:rPr>
  </w:style>
  <w:style w:type="character" w:customStyle="1" w:styleId="WarningTok">
    <w:name w:val="WarningTok"/>
    <w:basedOn w:val="VerbatimChar"/>
    <w:rPr>
      <w:rFonts w:ascii="Fira Code" w:eastAsia="宋体" w:hAnsi="Fira Code" w:cs="Times New Roman (正文 CS 字体)"/>
      <w:color w:val="FF5555"/>
      <w:sz w:val="21"/>
      <w:shd w:val="pct5" w:color="auto" w:fill="auto"/>
      <w:lang w:eastAsia="zh-CN"/>
    </w:rPr>
  </w:style>
  <w:style w:type="character" w:customStyle="1" w:styleId="AlertTok">
    <w:name w:val="AlertTok"/>
    <w:basedOn w:val="VerbatimChar"/>
    <w:rPr>
      <w:rFonts w:ascii="Fira Code" w:eastAsia="宋体" w:hAnsi="Fira Code" w:cs="Times New Roman (正文 CS 字体)"/>
      <w:b/>
      <w:color w:val="FF5555"/>
      <w:sz w:val="21"/>
      <w:shd w:val="pct5" w:color="auto" w:fill="auto"/>
      <w:lang w:eastAsia="zh-CN"/>
    </w:rPr>
  </w:style>
  <w:style w:type="character" w:customStyle="1" w:styleId="ErrorTok">
    <w:name w:val="ErrorTok"/>
    <w:basedOn w:val="VerbatimChar"/>
    <w:rPr>
      <w:rFonts w:ascii="Fira Code" w:eastAsia="宋体" w:hAnsi="Fira Code" w:cs="Times New Roman (正文 CS 字体)"/>
      <w:color w:val="FF5555"/>
      <w:sz w:val="21"/>
      <w:shd w:val="pct5" w:color="auto" w:fill="auto"/>
      <w:lang w:eastAsia="zh-CN"/>
    </w:rPr>
  </w:style>
  <w:style w:type="character" w:customStyle="1" w:styleId="NormalTok">
    <w:name w:val="NormalTok"/>
    <w:basedOn w:val="VerbatimChar"/>
    <w:rPr>
      <w:rFonts w:ascii="Fira Code" w:eastAsia="宋体" w:hAnsi="Fira Code" w:cs="Times New Roman (正文 CS 字体)"/>
      <w:color w:val="24292E"/>
      <w:sz w:val="21"/>
      <w:shd w:val="pct5" w:color="auto" w:fill="auto"/>
      <w:lang w:eastAsia="zh-CN"/>
    </w:rPr>
  </w:style>
  <w:style w:type="paragraph" w:styleId="TOC1">
    <w:name w:val="toc 1"/>
    <w:basedOn w:val="a"/>
    <w:next w:val="a"/>
    <w:autoRedefine/>
    <w:uiPriority w:val="39"/>
    <w:unhideWhenUsed/>
    <w:rsid w:val="0056461B"/>
    <w:rPr>
      <w:b/>
    </w:rPr>
  </w:style>
  <w:style w:type="paragraph" w:styleId="TOC2">
    <w:name w:val="toc 2"/>
    <w:basedOn w:val="a"/>
    <w:next w:val="a"/>
    <w:autoRedefine/>
    <w:uiPriority w:val="39"/>
    <w:unhideWhenUsed/>
    <w:rsid w:val="00365D4F"/>
    <w:pPr>
      <w:ind w:leftChars="200" w:left="420"/>
    </w:pPr>
  </w:style>
  <w:style w:type="paragraph" w:styleId="TOC3">
    <w:name w:val="toc 3"/>
    <w:basedOn w:val="a"/>
    <w:next w:val="a"/>
    <w:autoRedefine/>
    <w:uiPriority w:val="39"/>
    <w:unhideWhenUsed/>
    <w:rsid w:val="00365D4F"/>
    <w:pPr>
      <w:ind w:leftChars="400" w:left="840"/>
    </w:pPr>
  </w:style>
  <w:style w:type="paragraph" w:styleId="af0">
    <w:name w:val="header"/>
    <w:basedOn w:val="a"/>
    <w:link w:val="af1"/>
    <w:unhideWhenUsed/>
    <w:rsid w:val="00365D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1"/>
    <w:link w:val="af0"/>
    <w:rsid w:val="00365D4F"/>
    <w:rPr>
      <w:sz w:val="18"/>
      <w:szCs w:val="18"/>
    </w:rPr>
  </w:style>
  <w:style w:type="paragraph" w:styleId="af2">
    <w:name w:val="footer"/>
    <w:basedOn w:val="a"/>
    <w:link w:val="af3"/>
    <w:unhideWhenUsed/>
    <w:rsid w:val="00365D4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3">
    <w:name w:val="页脚 字符"/>
    <w:basedOn w:val="a1"/>
    <w:link w:val="af2"/>
    <w:rsid w:val="00365D4F"/>
    <w:rPr>
      <w:sz w:val="18"/>
      <w:szCs w:val="18"/>
    </w:rPr>
  </w:style>
  <w:style w:type="table" w:customStyle="1" w:styleId="af4">
    <w:name w:val="三线表"/>
    <w:basedOn w:val="a2"/>
    <w:uiPriority w:val="99"/>
    <w:rsid w:val="00B966D1"/>
    <w:pPr>
      <w:spacing w:after="0"/>
      <w:jc w:val="center"/>
    </w:pPr>
    <w:rPr>
      <w:rFonts w:ascii="Times New Roman" w:hAnsi="Times New Roman"/>
    </w:rPr>
    <w:tblPr>
      <w:tblBorders>
        <w:top w:val="single" w:sz="12" w:space="0" w:color="auto"/>
        <w:bottom w:val="single" w:sz="12" w:space="0" w:color="auto"/>
      </w:tblBorders>
    </w:tblPr>
    <w:tcPr>
      <w:vAlign w:val="center"/>
    </w:tcPr>
    <w:tblStylePr w:type="firstRow">
      <w:pPr>
        <w:jc w:val="center"/>
      </w:pPr>
      <w:rPr>
        <w:rFonts w:ascii="Times New Roman" w:eastAsiaTheme="minorEastAsia" w:hAnsi="Times New Roman"/>
        <w:b/>
      </w:rPr>
      <w:tblPr/>
      <w:tcPr>
        <w:tcBorders>
          <w:bottom w:val="single" w:sz="4" w:space="0" w:color="auto"/>
        </w:tcBorders>
        <w:vAlign w:val="center"/>
      </w:tcPr>
    </w:tblStylePr>
  </w:style>
  <w:style w:type="character" w:customStyle="1" w:styleId="a4">
    <w:name w:val="正文文本 字符"/>
    <w:basedOn w:val="a1"/>
    <w:link w:val="a0"/>
    <w:rsid w:val="00AB1695"/>
    <w:rPr>
      <w:rFonts w:ascii="Times New Roman" w:eastAsia="宋体" w:hAnsi="Times New Roman" w:cs="Times New Roman"/>
      <w:kern w:val="2"/>
      <w:sz w:val="21"/>
      <w:szCs w:val="21"/>
      <w:lang w:eastAsia="zh-CN"/>
    </w:rPr>
  </w:style>
  <w:style w:type="table" w:styleId="af5">
    <w:name w:val="Table Grid"/>
    <w:basedOn w:val="a2"/>
    <w:rsid w:val="00B966D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标题 字符"/>
    <w:aliases w:val="篇标题 字符,标题2 字符,表格 字符"/>
    <w:basedOn w:val="a1"/>
    <w:link w:val="a5"/>
    <w:rsid w:val="00543EED"/>
    <w:rPr>
      <w:rFonts w:ascii="Times New Roman" w:eastAsia="黑体" w:hAnsi="Times New Roman" w:cstheme="majorBidi"/>
      <w:b/>
      <w:bCs/>
      <w:kern w:val="2"/>
      <w:sz w:val="36"/>
      <w:szCs w:val="36"/>
      <w:lang w:eastAsia="zh-CN"/>
    </w:rPr>
  </w:style>
  <w:style w:type="character" w:customStyle="1" w:styleId="10">
    <w:name w:val="标题 1 字符"/>
    <w:aliases w:val="章标题 字符,篇 字符,标题22 字符,篇名 字符,(Titel) 字符,章号 字符,大标题 字符,标题 1 Char Char 字符,标题 1 Char Char Char Char Char Char Char 字符,章节 字符,第一章 字符,篇号 字符,章节号 字符,标题 1-GL 字符,H1 字符,h1 字符,h11 字符,h12 字符,h13 字符,h14 字符,h15 字符,h16 字符,宋二 字符,Normal + Font: Helvetica 字符,Bold 字符"/>
    <w:basedOn w:val="a1"/>
    <w:link w:val="1"/>
    <w:rsid w:val="002926AF"/>
    <w:rPr>
      <w:rFonts w:ascii="Times New Roman" w:eastAsia="黑体" w:hAnsi="Times New Roman" w:cs="Times New Roman (正文 CS 字体)"/>
      <w:kern w:val="2"/>
      <w:szCs w:val="30"/>
      <w:lang w:eastAsia="zh-CN"/>
    </w:rPr>
  </w:style>
  <w:style w:type="paragraph" w:customStyle="1" w:styleId="af6">
    <w:name w:val="小节标题"/>
    <w:basedOn w:val="3"/>
    <w:next w:val="a"/>
    <w:link w:val="af7"/>
    <w:qFormat/>
    <w:rsid w:val="00141B48"/>
    <w:pPr>
      <w:keepNext w:val="0"/>
      <w:keepLines w:val="0"/>
      <w:widowControl w:val="0"/>
      <w:snapToGrid w:val="0"/>
      <w:spacing w:after="48"/>
      <w:outlineLvl w:val="9"/>
    </w:pPr>
    <w:rPr>
      <w:rFonts w:eastAsia="宋体" w:cstheme="minorBidi"/>
      <w:bCs w:val="0"/>
      <w:kern w:val="2"/>
    </w:rPr>
  </w:style>
  <w:style w:type="character" w:customStyle="1" w:styleId="af7">
    <w:name w:val="小节标题 字符"/>
    <w:basedOn w:val="a1"/>
    <w:link w:val="af6"/>
    <w:rsid w:val="00141B48"/>
    <w:rPr>
      <w:rFonts w:ascii="Times New Roman" w:eastAsia="宋体" w:hAnsi="Times New Roman"/>
      <w:b/>
      <w:kern w:val="2"/>
      <w:lang w:eastAsia="zh-CN"/>
    </w:rPr>
  </w:style>
  <w:style w:type="paragraph" w:styleId="af8">
    <w:name w:val="List Paragraph"/>
    <w:basedOn w:val="a"/>
    <w:rsid w:val="009143F6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yperlink" Target="https://pandoc.org/MANUAL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otero.org/styl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 Document</dc:title>
  <dc:creator/>
  <cp:keywords/>
  <cp:lastModifiedBy>haobo zou</cp:lastModifiedBy>
  <cp:revision>55</cp:revision>
  <dcterms:created xsi:type="dcterms:W3CDTF">2022-10-29T10:07:00Z</dcterms:created>
  <dcterms:modified xsi:type="dcterms:W3CDTF">2026-01-28T02:38:00Z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header-includes">
    <vt:lpwstr/>
  </property>
  <property fmtid="{D5CDD505-2E9C-101B-9397-08002B2CF9AE}" pid="4" name="include-after">
    <vt:lpwstr/>
  </property>
  <property fmtid="{D5CDD505-2E9C-101B-9397-08002B2CF9AE}" pid="5" name="include-before">
    <vt:lpwstr/>
  </property>
  <property fmtid="{D5CDD505-2E9C-101B-9397-08002B2CF9AE}" pid="6" name="labels">
    <vt:lpwstr/>
  </property>
  <property fmtid="{D5CDD505-2E9C-101B-9397-08002B2CF9AE}" pid="7" name="toc-title">
    <vt:lpwstr>Table of contents</vt:lpwstr>
  </property>
</Properties>
</file>